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85" w:rsidRPr="00A817A6" w:rsidRDefault="00925685" w:rsidP="00925685">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FE5476" w:rsidRDefault="00FE5476" w:rsidP="00FE5476">
      <w:pPr>
        <w:pStyle w:val="Sansinterligne"/>
        <w:tabs>
          <w:tab w:val="left" w:pos="3579"/>
        </w:tabs>
        <w:spacing w:line="360" w:lineRule="auto"/>
        <w:ind w:left="3579" w:hanging="3579"/>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14:anchorId="3DA54401" wp14:editId="082EB21C">
            <wp:simplePos x="0" y="0"/>
            <wp:positionH relativeFrom="column">
              <wp:posOffset>2830195</wp:posOffset>
            </wp:positionH>
            <wp:positionV relativeFrom="paragraph">
              <wp:posOffset>159385</wp:posOffset>
            </wp:positionV>
            <wp:extent cx="354330" cy="354330"/>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ansinterligne"/>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ansinterligne"/>
        <w:tabs>
          <w:tab w:val="left" w:pos="3579"/>
        </w:tabs>
        <w:spacing w:line="360" w:lineRule="auto"/>
        <w:ind w:left="3579" w:hanging="3579"/>
        <w:jc w:val="center"/>
        <w:rPr>
          <w:rFonts w:ascii="Arial" w:hAnsi="Arial" w:cs="Arial"/>
          <w:w w:val="140"/>
          <w:sz w:val="14"/>
          <w:lang w:val="es-CO"/>
        </w:rPr>
      </w:pPr>
    </w:p>
    <w:p w:rsidR="00925685" w:rsidRDefault="00925685" w:rsidP="00FE5476">
      <w:pPr>
        <w:pStyle w:val="Sansinterligne"/>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ansinterligne"/>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ansinterligne"/>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ansinterligne"/>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ansinterligne"/>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ansinterligne"/>
        <w:spacing w:line="360" w:lineRule="auto"/>
        <w:jc w:val="center"/>
        <w:rPr>
          <w:rFonts w:ascii="Arial" w:hAnsi="Arial" w:cs="Arial"/>
          <w:w w:val="140"/>
          <w:sz w:val="16"/>
          <w:szCs w:val="16"/>
          <w:lang w:val="es-CO"/>
        </w:rPr>
      </w:pPr>
      <w:r w:rsidRPr="0034334F">
        <w:rPr>
          <w:rFonts w:ascii="Arial" w:hAnsi="Arial" w:cs="Arial"/>
          <w:w w:val="140"/>
          <w:sz w:val="16"/>
          <w:szCs w:val="18"/>
        </w:rPr>
        <w:t>D</w:t>
      </w:r>
      <w:r w:rsidRPr="0034334F">
        <w:rPr>
          <w:rFonts w:ascii="Arial" w:hAnsi="Arial" w:cs="Arial"/>
          <w:w w:val="140"/>
          <w:sz w:val="14"/>
          <w:szCs w:val="16"/>
        </w:rPr>
        <w:t>EPARTAMENTO DEL</w:t>
      </w:r>
      <w:r w:rsidRPr="0034334F">
        <w:rPr>
          <w:rFonts w:ascii="Arial" w:hAnsi="Arial" w:cs="Arial"/>
          <w:w w:val="140"/>
          <w:sz w:val="12"/>
          <w:szCs w:val="14"/>
        </w:rPr>
        <w:t xml:space="preserve"> </w:t>
      </w:r>
      <w:r w:rsidRPr="0034334F">
        <w:rPr>
          <w:rFonts w:ascii="Arial" w:hAnsi="Arial" w:cs="Arial"/>
          <w:w w:val="140"/>
          <w:sz w:val="16"/>
          <w:szCs w:val="16"/>
        </w:rPr>
        <w:t>R</w:t>
      </w:r>
      <w:r w:rsidRPr="0034334F">
        <w:rPr>
          <w:rFonts w:ascii="Arial" w:hAnsi="Arial" w:cs="Arial"/>
          <w:w w:val="140"/>
          <w:sz w:val="14"/>
          <w:szCs w:val="16"/>
        </w:rPr>
        <w:t>ISARALDA</w:t>
      </w:r>
    </w:p>
    <w:p w:rsidR="00AC5058" w:rsidRPr="00214826" w:rsidRDefault="00AC5058" w:rsidP="00AC5058">
      <w:pPr>
        <w:spacing w:line="360" w:lineRule="auto"/>
        <w:jc w:val="center"/>
        <w:rPr>
          <w:rFonts w:ascii="Arial" w:hAnsi="Arial" w:cs="Arial"/>
          <w:b/>
          <w:bCs/>
          <w:sz w:val="22"/>
          <w:szCs w:val="22"/>
        </w:rPr>
      </w:pPr>
    </w:p>
    <w:p w:rsidR="00AC5058" w:rsidRDefault="00925685" w:rsidP="00FE5476">
      <w:pPr>
        <w:pStyle w:val="Corpsdetexte"/>
        <w:spacing w:line="360" w:lineRule="auto"/>
        <w:ind w:left="708" w:firstLine="708"/>
        <w:rPr>
          <w:rFonts w:ascii="Arial" w:hAnsi="Arial" w:cs="Arial"/>
          <w:szCs w:val="22"/>
        </w:rPr>
      </w:pPr>
      <w:r>
        <w:rPr>
          <w:rFonts w:ascii="Arial" w:hAnsi="Arial" w:cs="Arial"/>
          <w:szCs w:val="22"/>
        </w:rPr>
        <w:t>Providencia</w:t>
      </w:r>
      <w:r w:rsidR="00AF5080">
        <w:rPr>
          <w:rFonts w:ascii="Arial" w:hAnsi="Arial" w:cs="Arial"/>
          <w:szCs w:val="22"/>
        </w:rPr>
        <w:tab/>
      </w:r>
      <w:r w:rsidR="00AC5058" w:rsidRPr="00FB107C">
        <w:rPr>
          <w:rFonts w:ascii="Arial" w:hAnsi="Arial" w:cs="Arial"/>
          <w:szCs w:val="22"/>
        </w:rPr>
        <w:tab/>
      </w:r>
      <w:r w:rsidR="00AC5058" w:rsidRPr="00FB107C">
        <w:rPr>
          <w:rFonts w:ascii="Arial" w:hAnsi="Arial" w:cs="Arial"/>
          <w:szCs w:val="22"/>
        </w:rPr>
        <w:tab/>
        <w:t xml:space="preserve">: </w:t>
      </w:r>
      <w:r>
        <w:rPr>
          <w:rFonts w:ascii="Arial" w:hAnsi="Arial" w:cs="Arial"/>
          <w:szCs w:val="22"/>
        </w:rPr>
        <w:t>Auto – 2ª instancia – 28 de marzo de 2017</w:t>
      </w:r>
    </w:p>
    <w:p w:rsidR="001D3CAA" w:rsidRDefault="00925685" w:rsidP="001D3CAA">
      <w:pPr>
        <w:pStyle w:val="Corpsdetexte"/>
        <w:spacing w:line="360" w:lineRule="auto"/>
        <w:ind w:left="4248" w:hanging="2832"/>
        <w:rPr>
          <w:rFonts w:ascii="Arial" w:hAnsi="Arial" w:cs="Arial"/>
          <w:szCs w:val="22"/>
          <w:lang w:val="es-CO"/>
        </w:rPr>
      </w:pPr>
      <w:r>
        <w:rPr>
          <w:rFonts w:ascii="Arial" w:hAnsi="Arial" w:cs="Arial"/>
          <w:szCs w:val="22"/>
        </w:rPr>
        <w:t>P</w:t>
      </w:r>
      <w:r w:rsidR="00CB0F03" w:rsidRPr="001F562E">
        <w:rPr>
          <w:rFonts w:ascii="Arial" w:hAnsi="Arial" w:cs="Arial"/>
          <w:szCs w:val="22"/>
        </w:rPr>
        <w:t>roceso</w:t>
      </w:r>
      <w:r w:rsidR="00CB0F03" w:rsidRPr="001F562E">
        <w:rPr>
          <w:rFonts w:ascii="Arial" w:hAnsi="Arial" w:cs="Arial"/>
          <w:szCs w:val="22"/>
        </w:rPr>
        <w:tab/>
        <w:t xml:space="preserve">: </w:t>
      </w:r>
      <w:r w:rsidR="00CB0F03">
        <w:rPr>
          <w:rFonts w:ascii="Arial" w:hAnsi="Arial" w:cs="Arial"/>
          <w:szCs w:val="22"/>
        </w:rPr>
        <w:t xml:space="preserve">Verbal – </w:t>
      </w:r>
      <w:r w:rsidR="00542AFC">
        <w:rPr>
          <w:rFonts w:ascii="Arial" w:hAnsi="Arial" w:cs="Arial"/>
          <w:szCs w:val="22"/>
        </w:rPr>
        <w:t>Revoca desistimiento t</w:t>
      </w:r>
      <w:proofErr w:type="spellStart"/>
      <w:r w:rsidR="00542AFC" w:rsidRPr="00542AFC">
        <w:rPr>
          <w:rFonts w:ascii="Arial" w:hAnsi="Arial" w:cs="Arial"/>
          <w:szCs w:val="22"/>
          <w:lang w:val="es-CO"/>
        </w:rPr>
        <w:t>ácito</w:t>
      </w:r>
      <w:proofErr w:type="spellEnd"/>
      <w:r w:rsidR="001D3CAA" w:rsidRPr="001D3CAA">
        <w:rPr>
          <w:rFonts w:ascii="Arial" w:hAnsi="Arial" w:cs="Arial"/>
          <w:szCs w:val="22"/>
          <w:lang w:val="es-CO"/>
        </w:rPr>
        <w:t xml:space="preserve"> y ordena continuar el tramite</w:t>
      </w:r>
    </w:p>
    <w:p w:rsidR="00CB0F03" w:rsidRDefault="00CB0F03" w:rsidP="001D3CAA">
      <w:pPr>
        <w:pStyle w:val="Corpsdetexte"/>
        <w:spacing w:line="360" w:lineRule="auto"/>
        <w:ind w:left="708" w:firstLine="708"/>
        <w:rPr>
          <w:rFonts w:ascii="Arial" w:hAnsi="Arial"/>
          <w:szCs w:val="22"/>
        </w:rPr>
      </w:pPr>
      <w:r>
        <w:rPr>
          <w:rFonts w:ascii="Arial" w:hAnsi="Arial"/>
          <w:szCs w:val="22"/>
        </w:rPr>
        <w:t>Demandante</w:t>
      </w:r>
      <w:r w:rsidRPr="00F86DCE">
        <w:rPr>
          <w:rFonts w:ascii="Arial" w:hAnsi="Arial"/>
          <w:szCs w:val="22"/>
        </w:rPr>
        <w:tab/>
      </w:r>
      <w:r w:rsidRPr="00F86DCE">
        <w:rPr>
          <w:rFonts w:ascii="Arial" w:hAnsi="Arial"/>
          <w:szCs w:val="22"/>
        </w:rPr>
        <w:tab/>
      </w:r>
      <w:r>
        <w:rPr>
          <w:rFonts w:ascii="Arial" w:hAnsi="Arial"/>
          <w:szCs w:val="22"/>
        </w:rPr>
        <w:tab/>
      </w:r>
      <w:r w:rsidRPr="00F86DCE">
        <w:rPr>
          <w:rFonts w:ascii="Arial" w:hAnsi="Arial"/>
          <w:szCs w:val="22"/>
        </w:rPr>
        <w:t xml:space="preserve">: </w:t>
      </w:r>
      <w:r>
        <w:rPr>
          <w:rFonts w:ascii="Arial" w:hAnsi="Arial"/>
          <w:szCs w:val="22"/>
        </w:rPr>
        <w:t>Héctor Fabio Villa Valencia y otros</w:t>
      </w:r>
    </w:p>
    <w:p w:rsidR="00CB0F03" w:rsidRDefault="00CB0F03" w:rsidP="00CB0F03">
      <w:pPr>
        <w:pStyle w:val="Corpsdetexte"/>
        <w:spacing w:line="360" w:lineRule="auto"/>
        <w:rPr>
          <w:rFonts w:ascii="Arial" w:hAnsi="Arial"/>
          <w:szCs w:val="22"/>
        </w:rPr>
      </w:pPr>
      <w:r w:rsidRPr="00F86DCE">
        <w:rPr>
          <w:rFonts w:ascii="Arial" w:hAnsi="Arial"/>
          <w:szCs w:val="22"/>
        </w:rPr>
        <w:tab/>
      </w:r>
      <w:r>
        <w:rPr>
          <w:rFonts w:ascii="Arial" w:hAnsi="Arial"/>
          <w:szCs w:val="22"/>
        </w:rPr>
        <w:tab/>
        <w:t>Demandado</w:t>
      </w:r>
      <w:r w:rsidRPr="00F86DCE">
        <w:rPr>
          <w:rFonts w:ascii="Arial" w:hAnsi="Arial"/>
          <w:szCs w:val="22"/>
        </w:rPr>
        <w:tab/>
      </w:r>
      <w:r>
        <w:rPr>
          <w:rFonts w:ascii="Arial" w:hAnsi="Arial"/>
          <w:szCs w:val="22"/>
        </w:rPr>
        <w:tab/>
      </w:r>
      <w:r>
        <w:rPr>
          <w:rFonts w:ascii="Arial" w:hAnsi="Arial"/>
          <w:szCs w:val="22"/>
        </w:rPr>
        <w:tab/>
      </w:r>
      <w:r w:rsidRPr="00F86DCE">
        <w:rPr>
          <w:rFonts w:ascii="Arial" w:hAnsi="Arial"/>
          <w:szCs w:val="22"/>
        </w:rPr>
        <w:t xml:space="preserve">: </w:t>
      </w:r>
      <w:proofErr w:type="spellStart"/>
      <w:r>
        <w:rPr>
          <w:rFonts w:ascii="Arial" w:hAnsi="Arial"/>
          <w:szCs w:val="22"/>
        </w:rPr>
        <w:t>EPS</w:t>
      </w:r>
      <w:proofErr w:type="spellEnd"/>
      <w:r>
        <w:rPr>
          <w:rFonts w:ascii="Arial" w:hAnsi="Arial"/>
          <w:szCs w:val="22"/>
        </w:rPr>
        <w:t xml:space="preserve"> </w:t>
      </w:r>
      <w:proofErr w:type="spellStart"/>
      <w:r>
        <w:rPr>
          <w:rFonts w:ascii="Arial" w:hAnsi="Arial"/>
          <w:szCs w:val="22"/>
        </w:rPr>
        <w:t>Cafesalud</w:t>
      </w:r>
      <w:proofErr w:type="spellEnd"/>
      <w:r>
        <w:rPr>
          <w:rFonts w:ascii="Arial" w:hAnsi="Arial"/>
          <w:szCs w:val="22"/>
        </w:rPr>
        <w:t xml:space="preserve"> y otros</w:t>
      </w:r>
    </w:p>
    <w:p w:rsidR="00D811AA" w:rsidRDefault="00D811AA" w:rsidP="00FE5476">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Juzgado </w:t>
      </w:r>
      <w:r w:rsidR="00E32155">
        <w:rPr>
          <w:rFonts w:ascii="Arial" w:hAnsi="Arial" w:cs="Arial"/>
          <w:sz w:val="22"/>
          <w:szCs w:val="22"/>
        </w:rPr>
        <w:t>Segundo</w:t>
      </w:r>
      <w:r>
        <w:rPr>
          <w:rFonts w:ascii="Arial" w:hAnsi="Arial" w:cs="Arial"/>
          <w:sz w:val="22"/>
          <w:szCs w:val="22"/>
        </w:rPr>
        <w:t xml:space="preserve"> Civil del Circuito de Pereira</w:t>
      </w:r>
    </w:p>
    <w:p w:rsidR="00CB0F03" w:rsidRDefault="00CB0F03" w:rsidP="00CB0F03">
      <w:pPr>
        <w:pStyle w:val="Corpsdetexte"/>
        <w:spacing w:line="360" w:lineRule="auto"/>
        <w:rPr>
          <w:rFonts w:ascii="Arial" w:hAnsi="Arial"/>
        </w:rPr>
      </w:pPr>
      <w:r>
        <w:rPr>
          <w:rFonts w:ascii="Arial" w:hAnsi="Arial"/>
          <w:sz w:val="18"/>
          <w:szCs w:val="22"/>
        </w:rPr>
        <w:tab/>
      </w:r>
      <w:r>
        <w:rPr>
          <w:rFonts w:ascii="Arial" w:hAnsi="Arial"/>
          <w:sz w:val="18"/>
          <w:szCs w:val="22"/>
        </w:rPr>
        <w:tab/>
      </w:r>
      <w:r w:rsidRPr="00F86DCE">
        <w:rPr>
          <w:rFonts w:ascii="Arial" w:hAnsi="Arial"/>
          <w:szCs w:val="22"/>
        </w:rPr>
        <w:t>Radicación</w:t>
      </w:r>
      <w:r w:rsidRPr="00F86DCE">
        <w:rPr>
          <w:rFonts w:ascii="Arial" w:hAnsi="Arial"/>
          <w:szCs w:val="22"/>
        </w:rPr>
        <w:tab/>
      </w:r>
      <w:r w:rsidRPr="00F86DCE">
        <w:rPr>
          <w:rFonts w:ascii="Arial" w:hAnsi="Arial"/>
          <w:szCs w:val="22"/>
        </w:rPr>
        <w:tab/>
      </w:r>
      <w:r>
        <w:rPr>
          <w:rFonts w:ascii="Arial" w:hAnsi="Arial"/>
          <w:szCs w:val="22"/>
        </w:rPr>
        <w:tab/>
      </w:r>
      <w:r w:rsidRPr="00F86DCE">
        <w:rPr>
          <w:rFonts w:ascii="Arial" w:hAnsi="Arial"/>
          <w:szCs w:val="22"/>
        </w:rPr>
        <w:t xml:space="preserve">: </w:t>
      </w:r>
      <w:r>
        <w:rPr>
          <w:rFonts w:ascii="Arial" w:hAnsi="Arial"/>
        </w:rPr>
        <w:t>2014-00299-02</w:t>
      </w:r>
    </w:p>
    <w:p w:rsidR="00AC5058" w:rsidRDefault="00AF5080" w:rsidP="00925685">
      <w:pPr>
        <w:spacing w:line="360" w:lineRule="auto"/>
        <w:ind w:left="708"/>
        <w:jc w:val="both"/>
        <w:rPr>
          <w:rFonts w:ascii="Arial" w:hAnsi="Arial" w:cs="Arial"/>
          <w:smallCaps/>
          <w:sz w:val="22"/>
          <w:szCs w:val="22"/>
        </w:rPr>
      </w:pPr>
      <w:r>
        <w:rPr>
          <w:rFonts w:ascii="Arial" w:hAnsi="Arial"/>
          <w:sz w:val="22"/>
          <w:szCs w:val="22"/>
        </w:rPr>
        <w:tab/>
      </w:r>
      <w:proofErr w:type="spellStart"/>
      <w:r w:rsidR="00F30001">
        <w:rPr>
          <w:rFonts w:ascii="Arial" w:hAnsi="Arial" w:cs="Arial"/>
          <w:sz w:val="22"/>
          <w:szCs w:val="22"/>
        </w:rPr>
        <w:t>Mag</w:t>
      </w:r>
      <w:proofErr w:type="spellEnd"/>
      <w:r w:rsidR="00F30001">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r>
      <w:r>
        <w:rPr>
          <w:rFonts w:ascii="Arial" w:hAnsi="Arial" w:cs="Arial"/>
          <w:sz w:val="22"/>
          <w:szCs w:val="22"/>
        </w:rPr>
        <w:tab/>
      </w:r>
      <w:r w:rsidR="00AC5058" w:rsidRPr="00FB107C">
        <w:rPr>
          <w:rFonts w:ascii="Arial" w:hAnsi="Arial" w:cs="Arial"/>
          <w:sz w:val="22"/>
          <w:szCs w:val="22"/>
        </w:rPr>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925685" w:rsidRDefault="00925685" w:rsidP="00FE5476">
      <w:pPr>
        <w:spacing w:line="360" w:lineRule="auto"/>
        <w:ind w:left="708" w:firstLine="708"/>
        <w:rPr>
          <w:rFonts w:ascii="Arial" w:hAnsi="Arial" w:cs="Arial"/>
          <w:smallCaps/>
          <w:sz w:val="22"/>
          <w:szCs w:val="22"/>
        </w:rPr>
      </w:pPr>
    </w:p>
    <w:p w:rsidR="00925685" w:rsidRPr="001F562E" w:rsidRDefault="00925685" w:rsidP="00991EEA">
      <w:pPr>
        <w:ind w:left="1416"/>
        <w:jc w:val="both"/>
        <w:rPr>
          <w:rFonts w:ascii="Arial" w:hAnsi="Arial" w:cs="Arial"/>
          <w:szCs w:val="22"/>
        </w:rPr>
      </w:pPr>
      <w:r>
        <w:rPr>
          <w:rFonts w:ascii="Arial" w:hAnsi="Arial" w:cs="Arial"/>
          <w:sz w:val="22"/>
          <w:szCs w:val="22"/>
        </w:rPr>
        <w:t>Temas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91EEA" w:rsidRPr="00991EEA">
        <w:rPr>
          <w:rFonts w:ascii="Arial" w:hAnsi="Arial" w:cs="Arial"/>
          <w:b/>
          <w:bCs/>
          <w:iCs/>
          <w:sz w:val="22"/>
          <w:szCs w:val="22"/>
        </w:rPr>
        <w:t>RESPONSABILIDAD MÉDICA / TERMINACIÓN DEL PROCESO POR DESISTIMIENTO TÁCITO.</w:t>
      </w:r>
      <w:r w:rsidR="00991EEA" w:rsidRPr="00991EEA">
        <w:rPr>
          <w:rFonts w:ascii="Arial" w:hAnsi="Arial" w:cs="Arial"/>
          <w:bCs/>
          <w:iCs/>
          <w:sz w:val="22"/>
          <w:szCs w:val="22"/>
        </w:rPr>
        <w:t xml:space="preserve"> “</w:t>
      </w:r>
      <w:r w:rsidR="00991EEA" w:rsidRPr="00991EEA">
        <w:rPr>
          <w:rFonts w:ascii="Arial" w:hAnsi="Arial" w:cs="Arial"/>
          <w:bCs/>
          <w:iCs/>
          <w:sz w:val="22"/>
          <w:szCs w:val="22"/>
          <w:lang w:val="es-CO"/>
        </w:rPr>
        <w:t xml:space="preserve">Aprecia esta Sala que, al emitirse la terminación, en efecto, se desconocieron las diligencias efectuadas por la parte demandante, ya que, acercó copia de la notificación por aviso practicada a </w:t>
      </w:r>
      <w:proofErr w:type="spellStart"/>
      <w:r w:rsidR="00991EEA" w:rsidRPr="00991EEA">
        <w:rPr>
          <w:rFonts w:ascii="Arial" w:hAnsi="Arial" w:cs="Arial"/>
          <w:bCs/>
          <w:iCs/>
          <w:sz w:val="22"/>
          <w:szCs w:val="22"/>
          <w:lang w:val="es-CO"/>
        </w:rPr>
        <w:t>Cafesalud</w:t>
      </w:r>
      <w:proofErr w:type="spellEnd"/>
      <w:r w:rsidR="00991EEA" w:rsidRPr="00991EEA">
        <w:rPr>
          <w:rFonts w:ascii="Arial" w:hAnsi="Arial" w:cs="Arial"/>
          <w:bCs/>
          <w:iCs/>
          <w:sz w:val="22"/>
          <w:szCs w:val="22"/>
          <w:lang w:val="es-CO"/>
        </w:rPr>
        <w:t xml:space="preserve"> </w:t>
      </w:r>
      <w:proofErr w:type="spellStart"/>
      <w:r w:rsidR="00991EEA" w:rsidRPr="00991EEA">
        <w:rPr>
          <w:rFonts w:ascii="Arial" w:hAnsi="Arial" w:cs="Arial"/>
          <w:bCs/>
          <w:iCs/>
          <w:sz w:val="22"/>
          <w:szCs w:val="22"/>
          <w:lang w:val="es-CO"/>
        </w:rPr>
        <w:t>EPS</w:t>
      </w:r>
      <w:proofErr w:type="spellEnd"/>
      <w:r w:rsidR="00991EEA" w:rsidRPr="00991EEA">
        <w:rPr>
          <w:rFonts w:ascii="Arial" w:hAnsi="Arial" w:cs="Arial"/>
          <w:bCs/>
          <w:iCs/>
          <w:sz w:val="22"/>
          <w:szCs w:val="22"/>
          <w:lang w:val="es-CO"/>
        </w:rPr>
        <w:t xml:space="preserve"> (Folio 333, frente y vuelto, cuaderno principal, tomo III) y de la constancia de envió de la citación a la Corporación </w:t>
      </w:r>
      <w:proofErr w:type="spellStart"/>
      <w:r w:rsidR="00991EEA" w:rsidRPr="00991EEA">
        <w:rPr>
          <w:rFonts w:ascii="Arial" w:hAnsi="Arial" w:cs="Arial"/>
          <w:bCs/>
          <w:iCs/>
          <w:sz w:val="22"/>
          <w:szCs w:val="22"/>
          <w:lang w:val="es-CO"/>
        </w:rPr>
        <w:t>IPS</w:t>
      </w:r>
      <w:proofErr w:type="spellEnd"/>
      <w:r w:rsidR="00991EEA" w:rsidRPr="00991EEA">
        <w:rPr>
          <w:rFonts w:ascii="Arial" w:hAnsi="Arial" w:cs="Arial"/>
          <w:bCs/>
          <w:iCs/>
          <w:sz w:val="22"/>
          <w:szCs w:val="22"/>
          <w:lang w:val="es-CO"/>
        </w:rPr>
        <w:t xml:space="preserve"> </w:t>
      </w:r>
      <w:proofErr w:type="spellStart"/>
      <w:r w:rsidR="00991EEA" w:rsidRPr="00991EEA">
        <w:rPr>
          <w:rFonts w:ascii="Arial" w:hAnsi="Arial" w:cs="Arial"/>
          <w:bCs/>
          <w:iCs/>
          <w:sz w:val="22"/>
          <w:szCs w:val="22"/>
          <w:lang w:val="es-CO"/>
        </w:rPr>
        <w:t>Saludcoop</w:t>
      </w:r>
      <w:proofErr w:type="spellEnd"/>
      <w:r w:rsidR="00991EEA" w:rsidRPr="00991EEA">
        <w:rPr>
          <w:rFonts w:ascii="Arial" w:hAnsi="Arial" w:cs="Arial"/>
          <w:bCs/>
          <w:iCs/>
          <w:sz w:val="22"/>
          <w:szCs w:val="22"/>
          <w:lang w:val="es-CO"/>
        </w:rPr>
        <w:t xml:space="preserve"> (Folios 332 y 335, ídem), trámites en los que se muestra que para la fecha de ese proveído, ya corría por lo menos, el término de traslado para la primera demandada en cita y para la segunda, al parecer, el plazo para comparecer a recibir notificación, cuestión que se ratificó en folio posterior (341, ídem). Si bien, lo desplegado por los actores, carece de fuerza para estimar que se había cumplido con lo ordenado, pues claramente era practicar las notificaciones y no simplemente adelantar algunas diligencias para tales enteramientos, lo cierto es que, al emitir la declaratoria de terminación, se dejó de considerar que los memoriales acercados, que además muestran interés en que el proceso avance, se refieren expresamente a la carga pendiente, </w:t>
      </w:r>
      <w:r w:rsidR="00991EEA" w:rsidRPr="00991EEA">
        <w:rPr>
          <w:rFonts w:ascii="Arial" w:hAnsi="Arial" w:cs="Arial"/>
          <w:bCs/>
          <w:iCs/>
          <w:sz w:val="22"/>
          <w:szCs w:val="22"/>
          <w:u w:val="single"/>
          <w:lang w:val="es-CO"/>
        </w:rPr>
        <w:t>interrumpieron el término concedido</w:t>
      </w:r>
      <w:r w:rsidR="00991EEA" w:rsidRPr="00991EEA">
        <w:rPr>
          <w:rFonts w:ascii="Arial" w:hAnsi="Arial" w:cs="Arial"/>
          <w:bCs/>
          <w:iCs/>
          <w:sz w:val="22"/>
          <w:szCs w:val="22"/>
          <w:lang w:val="es-CO"/>
        </w:rPr>
        <w:t>, al tenor de lo dispuesto en el literal c) de la norma, y entonces a la fecha de esa decisión aún no había vencido el plazo. A ello debe sumarse que de los anexos allegados con el recurso, se advierte que para los demandados que aún no comparecían, corrían los respectivos términos (Folios 339 a 342, ib.).”.</w:t>
      </w:r>
    </w:p>
    <w:p w:rsidR="00AC5058" w:rsidRPr="00FB107C" w:rsidRDefault="00AC5058" w:rsidP="00AC5058">
      <w:pPr>
        <w:pStyle w:val="Titre"/>
        <w:pBdr>
          <w:bottom w:val="double" w:sz="6" w:space="1" w:color="auto"/>
        </w:pBdr>
        <w:spacing w:line="360" w:lineRule="auto"/>
        <w:rPr>
          <w:b w:val="0"/>
          <w:bCs w:val="0"/>
          <w:i w:val="0"/>
          <w:iCs w:val="0"/>
          <w:spacing w:val="-3"/>
        </w:rPr>
      </w:pPr>
    </w:p>
    <w:p w:rsidR="00DA52A9" w:rsidRDefault="00DA52A9" w:rsidP="00AC5058">
      <w:pPr>
        <w:pStyle w:val="Titre"/>
        <w:spacing w:line="360" w:lineRule="auto"/>
        <w:rPr>
          <w:b w:val="0"/>
          <w:bCs w:val="0"/>
          <w:i w:val="0"/>
          <w:iCs w:val="0"/>
          <w:spacing w:val="-3"/>
        </w:rPr>
      </w:pPr>
    </w:p>
    <w:p w:rsidR="00AC5058" w:rsidRPr="00FB107C" w:rsidRDefault="00715B01" w:rsidP="00AC5058">
      <w:pPr>
        <w:pStyle w:val="Titre"/>
        <w:spacing w:line="360" w:lineRule="auto"/>
        <w:rPr>
          <w:b w:val="0"/>
          <w:bCs w:val="0"/>
          <w:i w:val="0"/>
          <w:spacing w:val="-3"/>
        </w:rPr>
      </w:pPr>
      <w:r w:rsidRPr="008C7D37">
        <w:rPr>
          <w:b w:val="0"/>
          <w:bCs w:val="0"/>
          <w:i w:val="0"/>
          <w:smallCaps/>
          <w:spacing w:val="-3"/>
          <w:sz w:val="28"/>
        </w:rPr>
        <w:t xml:space="preserve">Pereira, R., </w:t>
      </w:r>
      <w:r w:rsidR="00672903">
        <w:rPr>
          <w:b w:val="0"/>
          <w:bCs w:val="0"/>
          <w:i w:val="0"/>
          <w:smallCaps/>
          <w:spacing w:val="-3"/>
          <w:sz w:val="28"/>
        </w:rPr>
        <w:t>veinti</w:t>
      </w:r>
      <w:r w:rsidR="00405BD3">
        <w:rPr>
          <w:b w:val="0"/>
          <w:bCs w:val="0"/>
          <w:i w:val="0"/>
          <w:smallCaps/>
          <w:spacing w:val="-3"/>
          <w:sz w:val="28"/>
        </w:rPr>
        <w:t xml:space="preserve">ocho </w:t>
      </w:r>
      <w:r w:rsidR="005C5B79" w:rsidRPr="008C7D37">
        <w:rPr>
          <w:b w:val="0"/>
          <w:bCs w:val="0"/>
          <w:i w:val="0"/>
          <w:smallCaps/>
          <w:spacing w:val="-3"/>
          <w:sz w:val="28"/>
        </w:rPr>
        <w:t>(</w:t>
      </w:r>
      <w:r w:rsidR="00672903">
        <w:rPr>
          <w:b w:val="0"/>
          <w:bCs w:val="0"/>
          <w:i w:val="0"/>
          <w:smallCaps/>
          <w:spacing w:val="-3"/>
          <w:sz w:val="28"/>
        </w:rPr>
        <w:t>2</w:t>
      </w:r>
      <w:r w:rsidR="00405BD3">
        <w:rPr>
          <w:b w:val="0"/>
          <w:bCs w:val="0"/>
          <w:i w:val="0"/>
          <w:smallCaps/>
          <w:spacing w:val="-3"/>
          <w:sz w:val="28"/>
        </w:rPr>
        <w:t>8</w:t>
      </w:r>
      <w:r w:rsidR="005C5B79" w:rsidRPr="008C7D37">
        <w:rPr>
          <w:b w:val="0"/>
          <w:bCs w:val="0"/>
          <w:i w:val="0"/>
          <w:smallCaps/>
          <w:spacing w:val="-3"/>
          <w:sz w:val="28"/>
        </w:rPr>
        <w:t>)</w:t>
      </w:r>
      <w:r w:rsidR="00AC5058" w:rsidRPr="008C7D37">
        <w:rPr>
          <w:b w:val="0"/>
          <w:bCs w:val="0"/>
          <w:i w:val="0"/>
          <w:smallCaps/>
          <w:spacing w:val="-3"/>
          <w:sz w:val="28"/>
        </w:rPr>
        <w:t xml:space="preserve"> de </w:t>
      </w:r>
      <w:r w:rsidR="00CB0F03">
        <w:rPr>
          <w:b w:val="0"/>
          <w:bCs w:val="0"/>
          <w:i w:val="0"/>
          <w:smallCaps/>
          <w:spacing w:val="-3"/>
          <w:sz w:val="28"/>
        </w:rPr>
        <w:t xml:space="preserve">marzo </w:t>
      </w:r>
      <w:r w:rsidR="00AC5058" w:rsidRPr="008C7D37">
        <w:rPr>
          <w:b w:val="0"/>
          <w:bCs w:val="0"/>
          <w:i w:val="0"/>
          <w:smallCaps/>
          <w:spacing w:val="-3"/>
          <w:sz w:val="28"/>
        </w:rPr>
        <w:t xml:space="preserve">de dos mil </w:t>
      </w:r>
      <w:r w:rsidR="00CB0F03">
        <w:rPr>
          <w:b w:val="0"/>
          <w:bCs w:val="0"/>
          <w:i w:val="0"/>
          <w:smallCaps/>
          <w:spacing w:val="-3"/>
          <w:sz w:val="28"/>
        </w:rPr>
        <w:t xml:space="preserve">diecisiete </w:t>
      </w:r>
      <w:r w:rsidR="00E24920" w:rsidRPr="008C7D37">
        <w:rPr>
          <w:b w:val="0"/>
          <w:bCs w:val="0"/>
          <w:i w:val="0"/>
          <w:smallCaps/>
          <w:spacing w:val="-3"/>
          <w:sz w:val="28"/>
        </w:rPr>
        <w:t>(201</w:t>
      </w:r>
      <w:r w:rsidR="00CB0F03">
        <w:rPr>
          <w:b w:val="0"/>
          <w:bCs w:val="0"/>
          <w:i w:val="0"/>
          <w:smallCaps/>
          <w:spacing w:val="-3"/>
          <w:sz w:val="28"/>
        </w:rPr>
        <w:t>7</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ansinterligne"/>
        <w:spacing w:line="360" w:lineRule="auto"/>
        <w:rPr>
          <w:rFonts w:ascii="Arial" w:hAnsi="Arial" w:cs="Arial"/>
          <w:sz w:val="24"/>
        </w:rPr>
      </w:pPr>
    </w:p>
    <w:p w:rsidR="00356104" w:rsidRPr="00E32155" w:rsidRDefault="00CB0F03" w:rsidP="00356104">
      <w:pPr>
        <w:pStyle w:val="Sansinterligne"/>
        <w:numPr>
          <w:ilvl w:val="0"/>
          <w:numId w:val="4"/>
        </w:numPr>
        <w:spacing w:line="360" w:lineRule="auto"/>
        <w:jc w:val="both"/>
        <w:rPr>
          <w:rFonts w:ascii="Arial" w:hAnsi="Arial" w:cs="Arial"/>
          <w:smallCaps/>
          <w:sz w:val="26"/>
          <w:szCs w:val="26"/>
        </w:rPr>
      </w:pPr>
      <w:r w:rsidRPr="00E32155">
        <w:rPr>
          <w:rFonts w:ascii="Arial" w:hAnsi="Arial" w:cs="Arial"/>
          <w:smallCaps/>
          <w:sz w:val="32"/>
          <w:szCs w:val="26"/>
        </w:rPr>
        <w:t>e</w:t>
      </w:r>
      <w:r w:rsidRPr="00E32155">
        <w:rPr>
          <w:rFonts w:ascii="Arial" w:hAnsi="Arial" w:cs="Arial"/>
          <w:smallCaps/>
          <w:sz w:val="26"/>
          <w:szCs w:val="26"/>
        </w:rPr>
        <w:t>l asunto por decidir</w:t>
      </w:r>
    </w:p>
    <w:p w:rsidR="00356104" w:rsidRPr="00FB107C" w:rsidRDefault="00356104" w:rsidP="00356104">
      <w:pPr>
        <w:pStyle w:val="Sansinterligne"/>
        <w:spacing w:line="360" w:lineRule="auto"/>
        <w:jc w:val="both"/>
        <w:rPr>
          <w:rFonts w:ascii="Arial" w:hAnsi="Arial" w:cs="Arial"/>
          <w:sz w:val="24"/>
        </w:rPr>
      </w:pPr>
    </w:p>
    <w:p w:rsidR="00356104" w:rsidRPr="00336027" w:rsidRDefault="00AF385C" w:rsidP="00356104">
      <w:pPr>
        <w:pStyle w:val="Sansinterligne"/>
        <w:spacing w:line="360" w:lineRule="auto"/>
        <w:jc w:val="both"/>
        <w:rPr>
          <w:rFonts w:ascii="Arial" w:hAnsi="Arial" w:cs="Arial"/>
          <w:sz w:val="28"/>
        </w:rPr>
      </w:pPr>
      <w:r>
        <w:rPr>
          <w:rFonts w:ascii="Arial" w:hAnsi="Arial" w:cs="Arial"/>
          <w:sz w:val="24"/>
        </w:rPr>
        <w:t xml:space="preserve">El </w:t>
      </w:r>
      <w:r w:rsidR="00356104" w:rsidRPr="00FB107C">
        <w:rPr>
          <w:rFonts w:ascii="Arial" w:hAnsi="Arial" w:cs="Arial"/>
          <w:sz w:val="24"/>
        </w:rPr>
        <w:t xml:space="preserve">recurso </w:t>
      </w:r>
      <w:r w:rsidR="00092B5E" w:rsidRPr="00FB107C">
        <w:rPr>
          <w:rFonts w:ascii="Arial" w:hAnsi="Arial" w:cs="Arial"/>
          <w:sz w:val="24"/>
        </w:rPr>
        <w:t xml:space="preserve">ordinario </w:t>
      </w:r>
      <w:r w:rsidR="00356104" w:rsidRPr="00FB107C">
        <w:rPr>
          <w:rFonts w:ascii="Arial" w:hAnsi="Arial" w:cs="Arial"/>
          <w:sz w:val="24"/>
        </w:rPr>
        <w:t xml:space="preserve">de </w:t>
      </w:r>
      <w:r w:rsidR="000474C6" w:rsidRPr="00FB107C">
        <w:rPr>
          <w:rFonts w:ascii="Arial" w:hAnsi="Arial" w:cs="Arial"/>
          <w:sz w:val="24"/>
        </w:rPr>
        <w:t>apelación</w:t>
      </w:r>
      <w:r w:rsidR="00356104" w:rsidRPr="00FB107C">
        <w:rPr>
          <w:rFonts w:ascii="Arial" w:hAnsi="Arial" w:cs="Arial"/>
          <w:sz w:val="24"/>
        </w:rPr>
        <w:t xml:space="preserve"> </w:t>
      </w:r>
      <w:r w:rsidR="00270070">
        <w:rPr>
          <w:rFonts w:ascii="Arial" w:hAnsi="Arial" w:cs="Arial"/>
          <w:sz w:val="24"/>
        </w:rPr>
        <w:t xml:space="preserve">formulado </w:t>
      </w:r>
      <w:r w:rsidR="00356104" w:rsidRPr="00FB107C">
        <w:rPr>
          <w:rFonts w:ascii="Arial" w:hAnsi="Arial" w:cs="Arial"/>
          <w:sz w:val="24"/>
        </w:rPr>
        <w:t xml:space="preserve">por </w:t>
      </w:r>
      <w:r w:rsidR="00CB0F03">
        <w:rPr>
          <w:rFonts w:ascii="Arial" w:hAnsi="Arial" w:cs="Arial"/>
          <w:sz w:val="24"/>
        </w:rPr>
        <w:t>e</w:t>
      </w:r>
      <w:r w:rsidR="007751D3">
        <w:rPr>
          <w:rFonts w:ascii="Arial" w:hAnsi="Arial" w:cs="Arial"/>
          <w:sz w:val="24"/>
        </w:rPr>
        <w:t xml:space="preserve">l </w:t>
      </w:r>
      <w:r w:rsidR="004E704C" w:rsidRPr="00FB107C">
        <w:rPr>
          <w:rFonts w:ascii="Arial" w:hAnsi="Arial" w:cs="Arial"/>
          <w:sz w:val="24"/>
        </w:rPr>
        <w:t>apoderad</w:t>
      </w:r>
      <w:r w:rsidR="00CB0F03">
        <w:rPr>
          <w:rFonts w:ascii="Arial" w:hAnsi="Arial" w:cs="Arial"/>
          <w:sz w:val="24"/>
        </w:rPr>
        <w:t xml:space="preserve">o </w:t>
      </w:r>
      <w:r w:rsidR="004E704C" w:rsidRPr="00FB107C">
        <w:rPr>
          <w:rFonts w:ascii="Arial" w:hAnsi="Arial" w:cs="Arial"/>
          <w:sz w:val="24"/>
        </w:rPr>
        <w:t xml:space="preserve">de la </w:t>
      </w:r>
      <w:r w:rsidR="00B21B22">
        <w:rPr>
          <w:rFonts w:ascii="Arial" w:hAnsi="Arial" w:cs="Arial"/>
          <w:sz w:val="24"/>
        </w:rPr>
        <w:t xml:space="preserve">parte </w:t>
      </w:r>
      <w:r w:rsidR="00CB0F03">
        <w:rPr>
          <w:rFonts w:ascii="Arial" w:hAnsi="Arial" w:cs="Arial"/>
          <w:sz w:val="24"/>
        </w:rPr>
        <w:t>actora</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que terminó el proceso por desistimiento tácito</w:t>
      </w:r>
      <w:r w:rsidR="00B428D0" w:rsidRPr="00FB107C">
        <w:rPr>
          <w:rFonts w:ascii="Arial" w:hAnsi="Arial" w:cs="Arial"/>
          <w:sz w:val="24"/>
        </w:rPr>
        <w:t xml:space="preserve">, </w:t>
      </w:r>
      <w:r w:rsidR="007751D3">
        <w:rPr>
          <w:rFonts w:ascii="Arial" w:hAnsi="Arial" w:cs="Arial"/>
          <w:sz w:val="24"/>
        </w:rPr>
        <w:t>a voces de las razones jurídicas que a continuación se plantean.</w:t>
      </w:r>
    </w:p>
    <w:p w:rsidR="00356104" w:rsidRPr="00E32155" w:rsidRDefault="00CB0F03" w:rsidP="00356104">
      <w:pPr>
        <w:pStyle w:val="Sansinterligne"/>
        <w:numPr>
          <w:ilvl w:val="0"/>
          <w:numId w:val="4"/>
        </w:numPr>
        <w:spacing w:line="360" w:lineRule="auto"/>
        <w:jc w:val="both"/>
        <w:rPr>
          <w:rFonts w:ascii="Arial" w:hAnsi="Arial" w:cs="Arial"/>
          <w:smallCaps/>
          <w:sz w:val="26"/>
          <w:szCs w:val="26"/>
        </w:rPr>
      </w:pPr>
      <w:r w:rsidRPr="00E32155">
        <w:rPr>
          <w:rFonts w:ascii="Arial" w:hAnsi="Arial" w:cs="Arial"/>
          <w:smallCaps/>
          <w:sz w:val="32"/>
          <w:szCs w:val="26"/>
        </w:rPr>
        <w:lastRenderedPageBreak/>
        <w:t>l</w:t>
      </w:r>
      <w:r w:rsidRPr="00E32155">
        <w:rPr>
          <w:rFonts w:ascii="Arial" w:hAnsi="Arial" w:cs="Arial"/>
          <w:smallCaps/>
          <w:sz w:val="26"/>
          <w:szCs w:val="26"/>
        </w:rPr>
        <w:t>a providencia recurrida</w:t>
      </w:r>
    </w:p>
    <w:p w:rsidR="00356104" w:rsidRPr="00336027" w:rsidRDefault="00356104" w:rsidP="00356104">
      <w:pPr>
        <w:pStyle w:val="Sansinterligne"/>
        <w:spacing w:line="360" w:lineRule="auto"/>
        <w:jc w:val="both"/>
        <w:rPr>
          <w:rFonts w:ascii="Arial" w:hAnsi="Arial" w:cs="Arial"/>
          <w:sz w:val="24"/>
        </w:rPr>
      </w:pPr>
    </w:p>
    <w:p w:rsidR="00847809" w:rsidRDefault="0077435E" w:rsidP="00356104">
      <w:pPr>
        <w:spacing w:line="360" w:lineRule="auto"/>
        <w:jc w:val="both"/>
        <w:rPr>
          <w:rFonts w:ascii="Arial" w:hAnsi="Arial" w:cs="Arial"/>
          <w:szCs w:val="22"/>
        </w:rPr>
      </w:pPr>
      <w:r>
        <w:rPr>
          <w:rFonts w:ascii="Arial" w:hAnsi="Arial" w:cs="Arial"/>
          <w:szCs w:val="22"/>
        </w:rPr>
        <w:t xml:space="preserve">Es </w:t>
      </w:r>
      <w:r w:rsidR="00C43BE1">
        <w:rPr>
          <w:rFonts w:ascii="Arial" w:hAnsi="Arial" w:cs="Arial"/>
          <w:szCs w:val="22"/>
        </w:rPr>
        <w:t xml:space="preserve">el proveído </w:t>
      </w:r>
      <w:r>
        <w:rPr>
          <w:rFonts w:ascii="Arial" w:hAnsi="Arial" w:cs="Arial"/>
          <w:szCs w:val="22"/>
        </w:rPr>
        <w:t>de fecha 1</w:t>
      </w:r>
      <w:r w:rsidR="00CB0F03">
        <w:rPr>
          <w:rFonts w:ascii="Arial" w:hAnsi="Arial" w:cs="Arial"/>
          <w:szCs w:val="22"/>
        </w:rPr>
        <w:t>2-12-2016</w:t>
      </w:r>
      <w:r w:rsidR="007751D3">
        <w:rPr>
          <w:rFonts w:ascii="Arial" w:hAnsi="Arial" w:cs="Arial"/>
          <w:szCs w:val="22"/>
        </w:rPr>
        <w:t>,</w:t>
      </w:r>
      <w:r w:rsidR="00B73C53">
        <w:rPr>
          <w:rFonts w:ascii="Arial" w:hAnsi="Arial" w:cs="Arial"/>
          <w:szCs w:val="22"/>
        </w:rPr>
        <w:t xml:space="preserve"> </w:t>
      </w:r>
      <w:r w:rsidR="00F23E72">
        <w:rPr>
          <w:rFonts w:ascii="Arial" w:hAnsi="Arial" w:cs="Arial"/>
          <w:szCs w:val="22"/>
        </w:rPr>
        <w:t xml:space="preserve">con el que se declaró </w:t>
      </w:r>
      <w:r w:rsidR="007751D3">
        <w:rPr>
          <w:rFonts w:ascii="Arial" w:hAnsi="Arial" w:cs="Arial"/>
          <w:szCs w:val="22"/>
        </w:rPr>
        <w:t>terminado</w:t>
      </w:r>
      <w:r w:rsidR="00F23E72">
        <w:rPr>
          <w:rFonts w:ascii="Arial" w:hAnsi="Arial" w:cs="Arial"/>
          <w:szCs w:val="22"/>
        </w:rPr>
        <w:t xml:space="preserve"> el proceso por </w:t>
      </w:r>
      <w:r w:rsidR="007751D3">
        <w:rPr>
          <w:rFonts w:ascii="Arial" w:hAnsi="Arial" w:cs="Arial"/>
          <w:szCs w:val="22"/>
        </w:rPr>
        <w:t xml:space="preserve">haber operado el </w:t>
      </w:r>
      <w:r w:rsidR="00F23E72">
        <w:rPr>
          <w:rFonts w:ascii="Arial" w:hAnsi="Arial" w:cs="Arial"/>
          <w:szCs w:val="22"/>
        </w:rPr>
        <w:t>desistimiento tácito</w:t>
      </w:r>
      <w:r w:rsidR="001919E1">
        <w:rPr>
          <w:rFonts w:ascii="Arial" w:hAnsi="Arial" w:cs="Arial"/>
          <w:szCs w:val="22"/>
        </w:rPr>
        <w:t>.</w:t>
      </w:r>
      <w:r w:rsidR="00F23E72">
        <w:rPr>
          <w:rFonts w:ascii="Arial" w:hAnsi="Arial" w:cs="Arial"/>
          <w:szCs w:val="22"/>
        </w:rPr>
        <w:t xml:space="preserve"> </w:t>
      </w:r>
      <w:r w:rsidR="00CB0F03">
        <w:rPr>
          <w:rFonts w:ascii="Arial" w:hAnsi="Arial" w:cs="Arial"/>
          <w:szCs w:val="22"/>
        </w:rPr>
        <w:t>Acogió e</w:t>
      </w:r>
      <w:r w:rsidR="00743570">
        <w:rPr>
          <w:rFonts w:ascii="Arial" w:hAnsi="Arial" w:cs="Arial"/>
          <w:szCs w:val="22"/>
        </w:rPr>
        <w:t xml:space="preserve">l </w:t>
      </w:r>
      <w:r>
        <w:rPr>
          <w:rFonts w:ascii="Arial" w:hAnsi="Arial" w:cs="Arial"/>
          <w:szCs w:val="22"/>
        </w:rPr>
        <w:t>juez de instancia</w:t>
      </w:r>
      <w:r w:rsidR="007751D3">
        <w:rPr>
          <w:rFonts w:ascii="Arial" w:hAnsi="Arial" w:cs="Arial"/>
          <w:szCs w:val="22"/>
        </w:rPr>
        <w:t>,</w:t>
      </w:r>
      <w:r w:rsidR="00743570">
        <w:rPr>
          <w:rFonts w:ascii="Arial" w:hAnsi="Arial" w:cs="Arial"/>
          <w:szCs w:val="22"/>
        </w:rPr>
        <w:t xml:space="preserve"> </w:t>
      </w:r>
      <w:r w:rsidR="00CB0F03">
        <w:rPr>
          <w:rFonts w:ascii="Arial" w:hAnsi="Arial" w:cs="Arial"/>
          <w:szCs w:val="22"/>
        </w:rPr>
        <w:t>lo dispuesto en e</w:t>
      </w:r>
      <w:r w:rsidR="000143AB">
        <w:rPr>
          <w:rFonts w:ascii="Arial" w:hAnsi="Arial" w:cs="Arial"/>
          <w:szCs w:val="22"/>
        </w:rPr>
        <w:t xml:space="preserve">l </w:t>
      </w:r>
      <w:r w:rsidR="000143AB" w:rsidRPr="000143AB">
        <w:rPr>
          <w:rFonts w:ascii="Arial" w:hAnsi="Arial" w:cs="Arial"/>
          <w:szCs w:val="22"/>
          <w:lang w:val="es-CO"/>
        </w:rPr>
        <w:t>artículo</w:t>
      </w:r>
      <w:r>
        <w:rPr>
          <w:rFonts w:ascii="Arial" w:hAnsi="Arial" w:cs="Arial"/>
          <w:szCs w:val="22"/>
          <w:lang w:val="es-CO"/>
        </w:rPr>
        <w:t xml:space="preserve"> 317</w:t>
      </w:r>
      <w:r w:rsidR="00CB0F03">
        <w:rPr>
          <w:rFonts w:ascii="Arial" w:hAnsi="Arial" w:cs="Arial"/>
          <w:szCs w:val="22"/>
          <w:lang w:val="es-CO"/>
        </w:rPr>
        <w:t>-1°</w:t>
      </w:r>
      <w:r>
        <w:rPr>
          <w:rFonts w:ascii="Arial" w:hAnsi="Arial" w:cs="Arial"/>
          <w:szCs w:val="22"/>
          <w:lang w:val="es-CO"/>
        </w:rPr>
        <w:t xml:space="preserve"> del CGP</w:t>
      </w:r>
      <w:r w:rsidR="007751D3">
        <w:rPr>
          <w:rFonts w:ascii="Arial" w:hAnsi="Arial" w:cs="Arial"/>
          <w:szCs w:val="22"/>
          <w:lang w:val="es-CO"/>
        </w:rPr>
        <w:t>,</w:t>
      </w:r>
      <w:r>
        <w:rPr>
          <w:rFonts w:ascii="Arial" w:hAnsi="Arial" w:cs="Arial"/>
          <w:szCs w:val="22"/>
          <w:lang w:val="es-CO"/>
        </w:rPr>
        <w:t xml:space="preserve"> </w:t>
      </w:r>
      <w:r w:rsidR="00BA01C6">
        <w:rPr>
          <w:rFonts w:ascii="Arial" w:hAnsi="Arial" w:cs="Arial"/>
          <w:szCs w:val="22"/>
          <w:lang w:val="es-CO"/>
        </w:rPr>
        <w:t xml:space="preserve">ya </w:t>
      </w:r>
      <w:r>
        <w:rPr>
          <w:rFonts w:ascii="Arial" w:hAnsi="Arial" w:cs="Arial"/>
          <w:szCs w:val="22"/>
          <w:lang w:val="es-CO"/>
        </w:rPr>
        <w:t xml:space="preserve">que </w:t>
      </w:r>
      <w:r w:rsidR="00CB0F03">
        <w:rPr>
          <w:rFonts w:ascii="Arial" w:hAnsi="Arial" w:cs="Arial"/>
          <w:szCs w:val="22"/>
          <w:lang w:val="es-CO"/>
        </w:rPr>
        <w:t>la parte actora incumplió parcialmente el requerimiento hecho en auto del 19-10-2016, referente a la notificación efectiva</w:t>
      </w:r>
      <w:r w:rsidR="001D2742">
        <w:rPr>
          <w:rFonts w:ascii="Arial" w:hAnsi="Arial" w:cs="Arial"/>
          <w:szCs w:val="22"/>
          <w:lang w:val="es-CO"/>
        </w:rPr>
        <w:t xml:space="preserve"> </w:t>
      </w:r>
      <w:r w:rsidR="00CB0F03">
        <w:rPr>
          <w:rFonts w:ascii="Arial" w:hAnsi="Arial" w:cs="Arial"/>
          <w:szCs w:val="22"/>
          <w:lang w:val="es-CO"/>
        </w:rPr>
        <w:t xml:space="preserve">de los demandados y </w:t>
      </w:r>
      <w:r w:rsidR="00B1277B">
        <w:rPr>
          <w:rFonts w:ascii="Arial" w:hAnsi="Arial" w:cs="Arial"/>
          <w:szCs w:val="22"/>
          <w:lang w:val="es-CO"/>
        </w:rPr>
        <w:t xml:space="preserve">a allegar </w:t>
      </w:r>
      <w:r w:rsidR="00CB0F03">
        <w:rPr>
          <w:rFonts w:ascii="Arial" w:hAnsi="Arial" w:cs="Arial"/>
          <w:szCs w:val="22"/>
          <w:lang w:val="es-CO"/>
        </w:rPr>
        <w:t xml:space="preserve">copia de los traslados, pues </w:t>
      </w:r>
      <w:r w:rsidR="00B1277B">
        <w:rPr>
          <w:rFonts w:ascii="Arial" w:hAnsi="Arial" w:cs="Arial"/>
          <w:szCs w:val="22"/>
          <w:lang w:val="es-CO"/>
        </w:rPr>
        <w:t xml:space="preserve">se afirmó </w:t>
      </w:r>
      <w:r w:rsidR="00D84252">
        <w:rPr>
          <w:rFonts w:ascii="Arial" w:hAnsi="Arial" w:cs="Arial"/>
          <w:szCs w:val="22"/>
          <w:lang w:val="es-CO"/>
        </w:rPr>
        <w:t xml:space="preserve">que </w:t>
      </w:r>
      <w:r w:rsidR="00CB0F03">
        <w:rPr>
          <w:rFonts w:ascii="Arial" w:hAnsi="Arial" w:cs="Arial"/>
          <w:szCs w:val="22"/>
          <w:lang w:val="es-CO"/>
        </w:rPr>
        <w:t>no se efectuaron las notificaciones</w:t>
      </w:r>
      <w:r w:rsidR="007558DA">
        <w:rPr>
          <w:rFonts w:ascii="Arial" w:hAnsi="Arial" w:cs="Arial"/>
          <w:szCs w:val="22"/>
          <w:lang w:val="es-CO"/>
        </w:rPr>
        <w:t xml:space="preserve"> </w:t>
      </w:r>
      <w:r w:rsidR="00C36263">
        <w:rPr>
          <w:rFonts w:ascii="Arial" w:hAnsi="Arial" w:cs="Arial"/>
          <w:szCs w:val="22"/>
        </w:rPr>
        <w:t>(Folio</w:t>
      </w:r>
      <w:r w:rsidR="00CB0F03">
        <w:rPr>
          <w:rFonts w:ascii="Arial" w:hAnsi="Arial" w:cs="Arial"/>
          <w:szCs w:val="22"/>
        </w:rPr>
        <w:t xml:space="preserve"> 338</w:t>
      </w:r>
      <w:r w:rsidR="00C36263">
        <w:rPr>
          <w:rFonts w:ascii="Arial" w:hAnsi="Arial" w:cs="Arial"/>
          <w:szCs w:val="22"/>
        </w:rPr>
        <w:t xml:space="preserve">, cuaderno </w:t>
      </w:r>
      <w:r w:rsidR="00CB0F03">
        <w:rPr>
          <w:rFonts w:ascii="Arial" w:hAnsi="Arial" w:cs="Arial"/>
          <w:szCs w:val="22"/>
        </w:rPr>
        <w:t>principal, tomo III</w:t>
      </w:r>
      <w:r w:rsidR="00C36263">
        <w:rPr>
          <w:rFonts w:ascii="Arial" w:hAnsi="Arial" w:cs="Arial"/>
          <w:szCs w:val="22"/>
        </w:rPr>
        <w:t>).</w:t>
      </w:r>
    </w:p>
    <w:p w:rsidR="00195B8C" w:rsidRPr="00847809" w:rsidRDefault="00195B8C" w:rsidP="00847809">
      <w:pPr>
        <w:spacing w:line="360" w:lineRule="auto"/>
        <w:jc w:val="both"/>
        <w:rPr>
          <w:rFonts w:ascii="Arial" w:hAnsi="Arial" w:cs="Arial"/>
          <w:szCs w:val="22"/>
        </w:rPr>
      </w:pPr>
    </w:p>
    <w:p w:rsidR="00356104" w:rsidRPr="00E32155" w:rsidRDefault="00E32155" w:rsidP="00356104">
      <w:pPr>
        <w:pStyle w:val="Sansinterligne"/>
        <w:numPr>
          <w:ilvl w:val="0"/>
          <w:numId w:val="4"/>
        </w:numPr>
        <w:spacing w:line="360" w:lineRule="auto"/>
        <w:jc w:val="both"/>
        <w:rPr>
          <w:rFonts w:ascii="Arial" w:hAnsi="Arial" w:cs="Arial"/>
          <w:smallCaps/>
          <w:sz w:val="26"/>
          <w:szCs w:val="26"/>
        </w:rPr>
      </w:pPr>
      <w:r w:rsidRPr="00E32155">
        <w:rPr>
          <w:rFonts w:ascii="Arial" w:hAnsi="Arial" w:cs="Arial"/>
          <w:smallCaps/>
          <w:sz w:val="32"/>
          <w:szCs w:val="26"/>
        </w:rPr>
        <w:t>l</w:t>
      </w:r>
      <w:r w:rsidRPr="00E32155">
        <w:rPr>
          <w:rFonts w:ascii="Arial" w:hAnsi="Arial" w:cs="Arial"/>
          <w:smallCaps/>
          <w:sz w:val="26"/>
          <w:szCs w:val="26"/>
        </w:rPr>
        <w:t>a síntesis de la apelación</w:t>
      </w:r>
    </w:p>
    <w:p w:rsidR="009167BE" w:rsidRDefault="009167BE" w:rsidP="00356104">
      <w:pPr>
        <w:pStyle w:val="Sansinterligne"/>
        <w:spacing w:line="360" w:lineRule="auto"/>
        <w:jc w:val="both"/>
        <w:rPr>
          <w:rFonts w:ascii="Arial" w:hAnsi="Arial" w:cs="Arial"/>
          <w:sz w:val="24"/>
        </w:rPr>
      </w:pPr>
    </w:p>
    <w:p w:rsidR="00615E78" w:rsidRDefault="00F426DE" w:rsidP="00356104">
      <w:pPr>
        <w:pStyle w:val="Sansinterligne"/>
        <w:spacing w:line="360" w:lineRule="auto"/>
        <w:jc w:val="both"/>
        <w:rPr>
          <w:rFonts w:ascii="Arial" w:hAnsi="Arial" w:cs="Arial"/>
          <w:sz w:val="24"/>
        </w:rPr>
      </w:pPr>
      <w:r>
        <w:rPr>
          <w:rFonts w:ascii="Arial" w:hAnsi="Arial" w:cs="Arial"/>
          <w:sz w:val="24"/>
        </w:rPr>
        <w:t xml:space="preserve">Se opone a la terminación del proceso por estimar que </w:t>
      </w:r>
      <w:r w:rsidR="0077435E">
        <w:rPr>
          <w:rFonts w:ascii="Arial" w:hAnsi="Arial" w:cs="Arial"/>
          <w:sz w:val="24"/>
        </w:rPr>
        <w:t>c</w:t>
      </w:r>
      <w:r w:rsidR="00615E78">
        <w:rPr>
          <w:rFonts w:ascii="Arial" w:hAnsi="Arial" w:cs="Arial"/>
          <w:sz w:val="24"/>
        </w:rPr>
        <w:t xml:space="preserve">umplió con lo requerido por el Despacho, </w:t>
      </w:r>
      <w:r w:rsidR="00B1277B">
        <w:rPr>
          <w:rFonts w:ascii="Arial" w:hAnsi="Arial" w:cs="Arial"/>
          <w:sz w:val="24"/>
        </w:rPr>
        <w:t xml:space="preserve">dado que </w:t>
      </w:r>
      <w:r w:rsidR="00615E78">
        <w:rPr>
          <w:rFonts w:ascii="Arial" w:hAnsi="Arial" w:cs="Arial"/>
          <w:sz w:val="24"/>
        </w:rPr>
        <w:t xml:space="preserve">desde la presentación de la demanda había allegado los traslados, lo cual informó el 28-10-216, y en cuanto a las notificaciones, el 08-11-2016 acercó copia de los oficios enviados a los demandados. </w:t>
      </w:r>
    </w:p>
    <w:p w:rsidR="00615E78" w:rsidRDefault="00615E78" w:rsidP="00356104">
      <w:pPr>
        <w:pStyle w:val="Sansinterligne"/>
        <w:spacing w:line="360" w:lineRule="auto"/>
        <w:jc w:val="both"/>
        <w:rPr>
          <w:rFonts w:ascii="Arial" w:hAnsi="Arial" w:cs="Arial"/>
          <w:sz w:val="24"/>
        </w:rPr>
      </w:pPr>
    </w:p>
    <w:p w:rsidR="00A83F98" w:rsidRDefault="00615E78" w:rsidP="00356104">
      <w:pPr>
        <w:pStyle w:val="Sansinterligne"/>
        <w:spacing w:line="360" w:lineRule="auto"/>
        <w:jc w:val="both"/>
        <w:rPr>
          <w:rFonts w:ascii="Arial" w:hAnsi="Arial" w:cs="Arial"/>
          <w:sz w:val="24"/>
        </w:rPr>
      </w:pPr>
      <w:r>
        <w:rPr>
          <w:rFonts w:ascii="Arial" w:hAnsi="Arial" w:cs="Arial"/>
          <w:sz w:val="24"/>
        </w:rPr>
        <w:t xml:space="preserve">Añadió que dar por terminado el proceso restringe el derecho de acceso a la administración de justicia y que si </w:t>
      </w:r>
      <w:r w:rsidR="00B1277B">
        <w:rPr>
          <w:rFonts w:ascii="Arial" w:hAnsi="Arial" w:cs="Arial"/>
          <w:sz w:val="24"/>
        </w:rPr>
        <w:t xml:space="preserve">acepta, </w:t>
      </w:r>
      <w:r>
        <w:rPr>
          <w:rFonts w:ascii="Arial" w:hAnsi="Arial" w:cs="Arial"/>
          <w:sz w:val="24"/>
        </w:rPr>
        <w:t xml:space="preserve">se han presentado problemas en </w:t>
      </w:r>
      <w:r w:rsidR="00BA01C6">
        <w:rPr>
          <w:rFonts w:ascii="Arial" w:hAnsi="Arial" w:cs="Arial"/>
          <w:sz w:val="24"/>
        </w:rPr>
        <w:t>e</w:t>
      </w:r>
      <w:r>
        <w:rPr>
          <w:rFonts w:ascii="Arial" w:hAnsi="Arial" w:cs="Arial"/>
          <w:sz w:val="24"/>
        </w:rPr>
        <w:t xml:space="preserve">l </w:t>
      </w:r>
      <w:r w:rsidR="00BA01C6">
        <w:rPr>
          <w:rFonts w:ascii="Arial" w:hAnsi="Arial" w:cs="Arial"/>
          <w:sz w:val="24"/>
        </w:rPr>
        <w:t xml:space="preserve">enteramiento </w:t>
      </w:r>
      <w:r>
        <w:rPr>
          <w:rFonts w:ascii="Arial" w:hAnsi="Arial" w:cs="Arial"/>
          <w:sz w:val="24"/>
        </w:rPr>
        <w:t xml:space="preserve">de los demandados, ha sido por circunstancias ajenas a la voluntad de la parte actora, pues ha habido cambio en las direcciones donde la parte pasiva </w:t>
      </w:r>
      <w:r w:rsidR="00BA01C6">
        <w:rPr>
          <w:rFonts w:ascii="Arial" w:hAnsi="Arial" w:cs="Arial"/>
          <w:sz w:val="24"/>
        </w:rPr>
        <w:t xml:space="preserve">las </w:t>
      </w:r>
      <w:r>
        <w:rPr>
          <w:rFonts w:ascii="Arial" w:hAnsi="Arial" w:cs="Arial"/>
          <w:sz w:val="24"/>
        </w:rPr>
        <w:t>recibe</w:t>
      </w:r>
      <w:r w:rsidR="0069265E">
        <w:rPr>
          <w:rFonts w:ascii="Arial" w:hAnsi="Arial" w:cs="Arial"/>
          <w:sz w:val="24"/>
        </w:rPr>
        <w:t xml:space="preserve"> </w:t>
      </w:r>
      <w:r w:rsidR="0044720D">
        <w:rPr>
          <w:rFonts w:ascii="Arial" w:hAnsi="Arial" w:cs="Arial"/>
          <w:sz w:val="24"/>
        </w:rPr>
        <w:t>(</w:t>
      </w:r>
      <w:r w:rsidR="00AD543B">
        <w:rPr>
          <w:rFonts w:ascii="Arial" w:hAnsi="Arial" w:cs="Arial"/>
          <w:sz w:val="24"/>
        </w:rPr>
        <w:t>F</w:t>
      </w:r>
      <w:r w:rsidR="0044720D">
        <w:rPr>
          <w:rFonts w:ascii="Arial" w:hAnsi="Arial" w:cs="Arial"/>
          <w:sz w:val="24"/>
        </w:rPr>
        <w:t>olio</w:t>
      </w:r>
      <w:r w:rsidR="00274CB6">
        <w:rPr>
          <w:rFonts w:ascii="Arial" w:hAnsi="Arial" w:cs="Arial"/>
          <w:sz w:val="24"/>
        </w:rPr>
        <w:t xml:space="preserve">s </w:t>
      </w:r>
      <w:r w:rsidR="00551014">
        <w:rPr>
          <w:rFonts w:ascii="Arial" w:hAnsi="Arial" w:cs="Arial"/>
          <w:sz w:val="24"/>
        </w:rPr>
        <w:t>344 a 352,</w:t>
      </w:r>
      <w:r w:rsidR="00274CB6">
        <w:rPr>
          <w:rFonts w:ascii="Arial" w:hAnsi="Arial" w:cs="Arial"/>
          <w:sz w:val="24"/>
        </w:rPr>
        <w:t xml:space="preserve"> cuaderno</w:t>
      </w:r>
      <w:r w:rsidR="00551014">
        <w:rPr>
          <w:rFonts w:ascii="Arial" w:hAnsi="Arial" w:cs="Arial"/>
          <w:sz w:val="24"/>
        </w:rPr>
        <w:t xml:space="preserve"> principal, tomo III</w:t>
      </w:r>
      <w:r w:rsidR="002550C8">
        <w:rPr>
          <w:rFonts w:ascii="Arial" w:hAnsi="Arial" w:cs="Arial"/>
          <w:sz w:val="24"/>
        </w:rPr>
        <w:t>).</w:t>
      </w:r>
    </w:p>
    <w:p w:rsidR="006A7F66" w:rsidRPr="00336027" w:rsidRDefault="006A7F66" w:rsidP="00356104">
      <w:pPr>
        <w:pStyle w:val="Sansinterligne"/>
        <w:spacing w:line="360" w:lineRule="auto"/>
        <w:jc w:val="both"/>
        <w:rPr>
          <w:rFonts w:ascii="Arial" w:hAnsi="Arial" w:cs="Arial"/>
          <w:sz w:val="24"/>
        </w:rPr>
      </w:pPr>
    </w:p>
    <w:p w:rsidR="00356104" w:rsidRPr="00BA01C6" w:rsidRDefault="00551014" w:rsidP="00356104">
      <w:pPr>
        <w:numPr>
          <w:ilvl w:val="0"/>
          <w:numId w:val="4"/>
        </w:numPr>
        <w:spacing w:line="360" w:lineRule="auto"/>
        <w:jc w:val="both"/>
        <w:rPr>
          <w:rFonts w:ascii="Arial" w:hAnsi="Arial" w:cs="Arial"/>
          <w:smallCaps/>
          <w:sz w:val="26"/>
          <w:szCs w:val="26"/>
        </w:rPr>
      </w:pPr>
      <w:r w:rsidRPr="00BA01C6">
        <w:rPr>
          <w:rFonts w:ascii="Arial" w:hAnsi="Arial" w:cs="Arial"/>
          <w:smallCaps/>
          <w:sz w:val="32"/>
          <w:szCs w:val="26"/>
        </w:rPr>
        <w:t>l</w:t>
      </w:r>
      <w:r w:rsidRPr="00BA01C6">
        <w:rPr>
          <w:rFonts w:ascii="Arial" w:hAnsi="Arial" w:cs="Arial"/>
          <w:smallCaps/>
          <w:sz w:val="26"/>
          <w:szCs w:val="26"/>
        </w:rPr>
        <w:t>as estimaciones jurídicas para decidir</w:t>
      </w:r>
    </w:p>
    <w:p w:rsidR="00E70738" w:rsidRPr="006B11EE" w:rsidRDefault="00E70738" w:rsidP="00E70738">
      <w:pPr>
        <w:pStyle w:val="Sansinterligne"/>
        <w:spacing w:line="360" w:lineRule="auto"/>
        <w:jc w:val="both"/>
        <w:rPr>
          <w:rFonts w:ascii="Arial" w:hAnsi="Arial"/>
          <w:sz w:val="24"/>
          <w:szCs w:val="24"/>
        </w:rPr>
      </w:pPr>
    </w:p>
    <w:p w:rsidR="00E70738" w:rsidRPr="00BA4602" w:rsidRDefault="00E70738" w:rsidP="000C6940">
      <w:pPr>
        <w:pStyle w:val="Textopredeterminado"/>
        <w:numPr>
          <w:ilvl w:val="1"/>
          <w:numId w:val="4"/>
        </w:numPr>
        <w:spacing w:line="360" w:lineRule="auto"/>
        <w:jc w:val="both"/>
        <w:rPr>
          <w:rFonts w:ascii="Arial" w:hAnsi="Arial" w:cs="Arial"/>
          <w:szCs w:val="22"/>
          <w:lang w:val="es-MX"/>
        </w:rPr>
      </w:pPr>
      <w:r w:rsidRPr="00BA4602">
        <w:rPr>
          <w:rFonts w:ascii="Arial" w:hAnsi="Arial" w:cs="Arial"/>
          <w:smallCaps/>
        </w:rPr>
        <w:t>La competencia funcional</w:t>
      </w:r>
      <w:r w:rsidR="00BA4602" w:rsidRPr="00BA4602">
        <w:rPr>
          <w:rFonts w:ascii="Arial" w:hAnsi="Arial" w:cs="Arial"/>
          <w:smallCaps/>
        </w:rPr>
        <w:t xml:space="preserve">. </w:t>
      </w:r>
      <w:r w:rsidR="003A3702" w:rsidRPr="00BA4602">
        <w:rPr>
          <w:rFonts w:ascii="Arial" w:hAnsi="Arial" w:cs="Arial"/>
          <w:szCs w:val="22"/>
        </w:rPr>
        <w:t xml:space="preserve">La </w:t>
      </w:r>
      <w:r w:rsidRPr="00BA4602">
        <w:rPr>
          <w:rFonts w:ascii="Arial" w:hAnsi="Arial" w:cs="Arial"/>
          <w:szCs w:val="22"/>
        </w:rPr>
        <w:t xml:space="preserve">facultad </w:t>
      </w:r>
      <w:r w:rsidR="003A3702" w:rsidRPr="00BA4602">
        <w:rPr>
          <w:rFonts w:ascii="Arial" w:hAnsi="Arial" w:cs="Arial"/>
          <w:szCs w:val="22"/>
        </w:rPr>
        <w:t xml:space="preserve">jurídica </w:t>
      </w:r>
      <w:r w:rsidRPr="00BA4602">
        <w:rPr>
          <w:rFonts w:ascii="Arial" w:hAnsi="Arial" w:cs="Arial"/>
          <w:szCs w:val="22"/>
        </w:rPr>
        <w:t xml:space="preserve">para </w:t>
      </w:r>
      <w:r w:rsidR="003A3702" w:rsidRPr="00BA4602">
        <w:rPr>
          <w:rFonts w:ascii="Arial" w:hAnsi="Arial" w:cs="Arial"/>
          <w:szCs w:val="22"/>
        </w:rPr>
        <w:t xml:space="preserve">desatar </w:t>
      </w:r>
      <w:r w:rsidRPr="00BA4602">
        <w:rPr>
          <w:rFonts w:ascii="Arial" w:hAnsi="Arial" w:cs="Arial"/>
          <w:szCs w:val="22"/>
        </w:rPr>
        <w:t xml:space="preserve">la </w:t>
      </w:r>
      <w:proofErr w:type="spellStart"/>
      <w:r w:rsidR="003A3702" w:rsidRPr="00BA4602">
        <w:rPr>
          <w:rFonts w:ascii="Arial" w:hAnsi="Arial" w:cs="Arial"/>
          <w:szCs w:val="22"/>
        </w:rPr>
        <w:t>litis</w:t>
      </w:r>
      <w:proofErr w:type="spellEnd"/>
      <w:r w:rsidR="003A3702" w:rsidRPr="00BA4602">
        <w:rPr>
          <w:rFonts w:ascii="Arial" w:hAnsi="Arial" w:cs="Arial"/>
          <w:szCs w:val="22"/>
        </w:rPr>
        <w:t>, radica en esta Colegiatura por e</w:t>
      </w:r>
      <w:r w:rsidRPr="00BA4602">
        <w:rPr>
          <w:rFonts w:ascii="Arial" w:hAnsi="Arial" w:cs="Arial"/>
          <w:szCs w:val="22"/>
        </w:rPr>
        <w:t>l factor funcional</w:t>
      </w:r>
      <w:r w:rsidR="00EB2D8F" w:rsidRPr="00BA4602">
        <w:rPr>
          <w:rFonts w:ascii="Arial" w:hAnsi="Arial" w:cs="Arial"/>
          <w:szCs w:val="22"/>
        </w:rPr>
        <w:t xml:space="preserve"> (Artículo </w:t>
      </w:r>
      <w:r w:rsidR="00BA4602">
        <w:rPr>
          <w:rFonts w:ascii="Arial" w:hAnsi="Arial" w:cs="Arial"/>
          <w:szCs w:val="22"/>
        </w:rPr>
        <w:t>31</w:t>
      </w:r>
      <w:r w:rsidR="00EB2D8F" w:rsidRPr="00BA4602">
        <w:rPr>
          <w:rFonts w:ascii="Arial" w:hAnsi="Arial" w:cs="Arial"/>
          <w:szCs w:val="22"/>
        </w:rPr>
        <w:t>-1</w:t>
      </w:r>
      <w:r w:rsidR="00BA4602">
        <w:rPr>
          <w:rFonts w:ascii="Arial" w:hAnsi="Arial" w:cs="Arial"/>
          <w:szCs w:val="22"/>
        </w:rPr>
        <w:t>°</w:t>
      </w:r>
      <w:r w:rsidR="005E5EEB" w:rsidRPr="00BA4602">
        <w:rPr>
          <w:rFonts w:ascii="Arial" w:hAnsi="Arial" w:cs="Arial"/>
          <w:szCs w:val="22"/>
        </w:rPr>
        <w:t>,</w:t>
      </w:r>
      <w:r w:rsidR="00EB2D8F" w:rsidRPr="00BA4602">
        <w:rPr>
          <w:rFonts w:ascii="Arial" w:hAnsi="Arial" w:cs="Arial"/>
          <w:szCs w:val="22"/>
        </w:rPr>
        <w:t xml:space="preserve"> C</w:t>
      </w:r>
      <w:r w:rsidR="00BA4602">
        <w:rPr>
          <w:rFonts w:ascii="Arial" w:hAnsi="Arial" w:cs="Arial"/>
          <w:szCs w:val="22"/>
        </w:rPr>
        <w:t>G</w:t>
      </w:r>
      <w:r w:rsidR="00EB2D8F" w:rsidRPr="00BA4602">
        <w:rPr>
          <w:rFonts w:ascii="Arial" w:hAnsi="Arial" w:cs="Arial"/>
          <w:szCs w:val="22"/>
        </w:rPr>
        <w:t>P)</w:t>
      </w:r>
      <w:r w:rsidRPr="00BA4602">
        <w:rPr>
          <w:rFonts w:ascii="Arial" w:hAnsi="Arial" w:cs="Arial"/>
          <w:szCs w:val="22"/>
        </w:rPr>
        <w:t xml:space="preserve">, </w:t>
      </w:r>
      <w:r w:rsidR="003A3702" w:rsidRPr="00BA4602">
        <w:rPr>
          <w:rFonts w:ascii="Arial" w:hAnsi="Arial" w:cs="Arial"/>
          <w:szCs w:val="22"/>
        </w:rPr>
        <w:t xml:space="preserve">dada su condición de </w:t>
      </w:r>
      <w:r w:rsidRPr="00BA4602">
        <w:rPr>
          <w:rFonts w:ascii="Arial" w:hAnsi="Arial" w:cs="Arial"/>
          <w:szCs w:val="22"/>
          <w:lang w:val="es-MX"/>
        </w:rPr>
        <w:t xml:space="preserve">superior jerárquico del Juzgado </w:t>
      </w:r>
      <w:r w:rsidR="00BA4602">
        <w:rPr>
          <w:rFonts w:ascii="Arial" w:hAnsi="Arial" w:cs="Arial"/>
          <w:szCs w:val="22"/>
          <w:lang w:val="es-MX"/>
        </w:rPr>
        <w:t xml:space="preserve">Segundo </w:t>
      </w:r>
      <w:r w:rsidR="00274CB6" w:rsidRPr="00BA4602">
        <w:rPr>
          <w:rFonts w:ascii="Arial" w:hAnsi="Arial" w:cs="Arial"/>
          <w:szCs w:val="22"/>
          <w:lang w:val="es-MX"/>
        </w:rPr>
        <w:t>Civil del Circuito</w:t>
      </w:r>
      <w:r w:rsidRPr="00BA4602">
        <w:rPr>
          <w:rFonts w:ascii="Arial" w:hAnsi="Arial" w:cs="Arial"/>
          <w:szCs w:val="22"/>
          <w:lang w:val="es-MX"/>
        </w:rPr>
        <w:t xml:space="preserve"> de esta ciudad</w:t>
      </w:r>
      <w:r w:rsidRPr="00BA4602">
        <w:rPr>
          <w:rFonts w:ascii="Arial" w:hAnsi="Arial"/>
        </w:rPr>
        <w:t xml:space="preserve">, </w:t>
      </w:r>
      <w:r w:rsidRPr="00BA4602">
        <w:rPr>
          <w:rFonts w:ascii="Arial" w:hAnsi="Arial" w:cs="Arial"/>
          <w:szCs w:val="22"/>
          <w:lang w:val="es-MX"/>
        </w:rPr>
        <w:t>donde cursa el proceso.</w:t>
      </w:r>
    </w:p>
    <w:p w:rsidR="00241921" w:rsidRDefault="00241921" w:rsidP="00E70738">
      <w:pPr>
        <w:pStyle w:val="Corpsdetexte"/>
        <w:spacing w:line="360" w:lineRule="auto"/>
        <w:rPr>
          <w:rFonts w:ascii="Arial" w:hAnsi="Arial" w:cs="Arial"/>
          <w:sz w:val="24"/>
          <w:lang w:val="es-MX"/>
        </w:rPr>
      </w:pPr>
    </w:p>
    <w:p w:rsidR="00BA4602" w:rsidRPr="00B1277B" w:rsidRDefault="00BA4602" w:rsidP="003071D6">
      <w:pPr>
        <w:pStyle w:val="Sansinterligne"/>
        <w:numPr>
          <w:ilvl w:val="1"/>
          <w:numId w:val="4"/>
        </w:numPr>
        <w:spacing w:line="360" w:lineRule="auto"/>
        <w:jc w:val="both"/>
        <w:rPr>
          <w:rFonts w:ascii="Arial" w:hAnsi="Arial" w:cs="Arial"/>
          <w:i/>
          <w:sz w:val="24"/>
        </w:rPr>
      </w:pPr>
      <w:r w:rsidRPr="00BA4602">
        <w:rPr>
          <w:rFonts w:ascii="Arial" w:hAnsi="Arial" w:cs="Arial"/>
          <w:smallCaps/>
          <w:sz w:val="24"/>
        </w:rPr>
        <w:t xml:space="preserve">Los presupuestos de viabilidad. </w:t>
      </w:r>
      <w:r w:rsidRPr="00B1277B">
        <w:rPr>
          <w:rFonts w:ascii="Arial" w:hAnsi="Arial"/>
          <w:sz w:val="24"/>
        </w:rPr>
        <w:t xml:space="preserve">En materia de impugnaciones, si bien la regulación en el CGP modificó algunos </w:t>
      </w:r>
      <w:r w:rsidR="00BA01C6">
        <w:rPr>
          <w:rFonts w:ascii="Arial" w:hAnsi="Arial"/>
          <w:sz w:val="24"/>
        </w:rPr>
        <w:t>aspectos</w:t>
      </w:r>
      <w:r w:rsidRPr="00B1277B">
        <w:rPr>
          <w:rFonts w:ascii="Arial" w:hAnsi="Arial"/>
          <w:sz w:val="24"/>
        </w:rPr>
        <w:t>, lo atinente a los supuestos de viabilidad del recurso y específicamente para los autos, no tuvo un cambio sustancial respecto de lo estatuido en el CPC, de tal suerte que la jurisprudencia y la doctrina que se han encargado de estudiar el tema con arreglo al CPC</w:t>
      </w:r>
      <w:r w:rsidRPr="00B1277B">
        <w:rPr>
          <w:rFonts w:ascii="Arial" w:hAnsi="Arial" w:cs="Arial"/>
          <w:sz w:val="24"/>
        </w:rPr>
        <w:t>, son aplicables para el nuevo estatuto</w:t>
      </w:r>
      <w:r w:rsidR="00F92CC0">
        <w:rPr>
          <w:rFonts w:ascii="Arial" w:hAnsi="Arial" w:cs="Arial"/>
          <w:sz w:val="24"/>
        </w:rPr>
        <w:t xml:space="preserve">, así como </w:t>
      </w:r>
      <w:r w:rsidRPr="00B1277B">
        <w:rPr>
          <w:rFonts w:ascii="Arial" w:hAnsi="Arial" w:cs="Arial"/>
          <w:sz w:val="24"/>
        </w:rPr>
        <w:t xml:space="preserve">lo tocante </w:t>
      </w:r>
      <w:r w:rsidR="00F92CC0">
        <w:rPr>
          <w:rFonts w:ascii="Arial" w:hAnsi="Arial" w:cs="Arial"/>
          <w:sz w:val="24"/>
        </w:rPr>
        <w:t>con</w:t>
      </w:r>
      <w:r w:rsidRPr="00B1277B">
        <w:rPr>
          <w:rFonts w:ascii="Arial" w:hAnsi="Arial" w:cs="Arial"/>
          <w:sz w:val="24"/>
        </w:rPr>
        <w:t xml:space="preserve"> la revisión de la alzada.</w:t>
      </w:r>
    </w:p>
    <w:p w:rsidR="00BA4602" w:rsidRDefault="00BA4602" w:rsidP="00BA4602">
      <w:pPr>
        <w:pStyle w:val="Sansinterligne"/>
        <w:spacing w:line="360" w:lineRule="auto"/>
        <w:jc w:val="both"/>
        <w:rPr>
          <w:rFonts w:ascii="Arial" w:hAnsi="Arial" w:cs="Arial"/>
          <w:sz w:val="24"/>
        </w:rPr>
      </w:pPr>
    </w:p>
    <w:p w:rsidR="00BA4602" w:rsidRDefault="00BA4602" w:rsidP="00BA4602">
      <w:pPr>
        <w:pStyle w:val="Sansinterligne"/>
        <w:spacing w:line="360" w:lineRule="auto"/>
        <w:jc w:val="both"/>
        <w:rPr>
          <w:rFonts w:ascii="Arial" w:hAnsi="Arial" w:cs="Arial"/>
        </w:rPr>
      </w:pPr>
      <w:r>
        <w:rPr>
          <w:rFonts w:ascii="Arial" w:hAnsi="Arial" w:cs="Arial"/>
          <w:sz w:val="24"/>
        </w:rPr>
        <w:lastRenderedPageBreak/>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w:t>
      </w:r>
      <w:r w:rsidR="00B1277B">
        <w:rPr>
          <w:rFonts w:ascii="Arial" w:hAnsi="Arial" w:cs="Arial"/>
          <w:sz w:val="24"/>
        </w:rPr>
        <w:t>.</w:t>
      </w:r>
      <w:r w:rsidR="00B1277B" w:rsidRPr="00336027">
        <w:rPr>
          <w:rFonts w:ascii="Arial" w:hAnsi="Arial" w:cs="Arial"/>
          <w:vertAlign w:val="superscript"/>
        </w:rPr>
        <w:footnoteReference w:id="3"/>
      </w:r>
      <w:r w:rsidRPr="00336027">
        <w:rPr>
          <w:rFonts w:ascii="Arial" w:hAnsi="Arial" w:cs="Arial"/>
          <w:sz w:val="24"/>
        </w:rPr>
        <w:t>: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 xml:space="preserve">”.  </w:t>
      </w:r>
      <w:r w:rsidRPr="005543CF">
        <w:rPr>
          <w:rFonts w:ascii="Arial" w:hAnsi="Arial" w:cs="Arial"/>
          <w:sz w:val="24"/>
        </w:rPr>
        <w:t>Y lo explica el profesor Rojas G</w:t>
      </w:r>
      <w:r w:rsidR="00B1277B">
        <w:rPr>
          <w:rFonts w:ascii="Arial" w:hAnsi="Arial" w:cs="Arial"/>
          <w:sz w:val="24"/>
        </w:rPr>
        <w:t>.</w:t>
      </w:r>
      <w:r w:rsidRPr="00B27CC5">
        <w:rPr>
          <w:rStyle w:val="Appelnotedebasdep"/>
          <w:rFonts w:ascii="Arial" w:hAnsi="Arial" w:cs="Arial"/>
        </w:rPr>
        <w:footnoteReference w:id="4"/>
      </w:r>
      <w:r w:rsidRPr="00B27CC5">
        <w:rPr>
          <w:rFonts w:ascii="Arial" w:hAnsi="Arial" w:cs="Arial"/>
        </w:rPr>
        <w:t xml:space="preserve"> </w:t>
      </w:r>
      <w:r w:rsidRPr="005543CF">
        <w:rPr>
          <w:rFonts w:ascii="Arial" w:hAnsi="Arial" w:cs="Arial"/>
          <w:sz w:val="24"/>
        </w:rPr>
        <w:t>en su obra:</w:t>
      </w:r>
      <w:r w:rsidRPr="00B27CC5">
        <w:rPr>
          <w:rFonts w:ascii="Arial" w:hAnsi="Arial" w:cs="Arial"/>
        </w:rPr>
        <w:t xml:space="preserve"> “</w:t>
      </w:r>
      <w:r w:rsidRPr="008569C4">
        <w:rPr>
          <w:rFonts w:ascii="Arial" w:hAnsi="Arial" w:cs="Arial"/>
          <w:i/>
        </w:rPr>
        <w:t>(…) para que la impugnación pueda ser tramitada hasta establecer si debe prosperar han de cumplirse unos precisos requisitos. En ausencia de ellos no debe dársele curso a</w:t>
      </w:r>
      <w:r>
        <w:rPr>
          <w:rFonts w:ascii="Arial" w:hAnsi="Arial" w:cs="Arial"/>
          <w:i/>
        </w:rPr>
        <w:t xml:space="preserve"> </w:t>
      </w:r>
      <w:r w:rsidRPr="008569C4">
        <w:rPr>
          <w:rFonts w:ascii="Arial" w:hAnsi="Arial" w:cs="Arial"/>
          <w:i/>
        </w:rPr>
        <w:t>l</w:t>
      </w:r>
      <w:r>
        <w:rPr>
          <w:rFonts w:ascii="Arial" w:hAnsi="Arial" w:cs="Arial"/>
          <w:i/>
        </w:rPr>
        <w:t>a</w:t>
      </w:r>
      <w:r w:rsidRPr="008569C4">
        <w:rPr>
          <w:rFonts w:ascii="Arial" w:hAnsi="Arial" w:cs="Arial"/>
          <w:i/>
        </w:rPr>
        <w:t xml:space="preserve"> impugnación, o el trámite queda trunco, si ya se inició.</w:t>
      </w:r>
      <w:r>
        <w:rPr>
          <w:rFonts w:ascii="Arial" w:hAnsi="Arial" w:cs="Arial"/>
        </w:rPr>
        <w:t>”.</w:t>
      </w:r>
    </w:p>
    <w:p w:rsidR="00991EEA" w:rsidRDefault="00991EEA" w:rsidP="00BA4602">
      <w:pPr>
        <w:pStyle w:val="Sansinterligne"/>
        <w:spacing w:line="360" w:lineRule="auto"/>
        <w:jc w:val="both"/>
        <w:rPr>
          <w:rFonts w:ascii="Arial" w:hAnsi="Arial" w:cs="Arial"/>
          <w:sz w:val="24"/>
        </w:rPr>
      </w:pPr>
    </w:p>
    <w:p w:rsidR="00BA4602" w:rsidRPr="0092055B" w:rsidRDefault="00BA4602" w:rsidP="00BA4602">
      <w:pPr>
        <w:pStyle w:val="Sansinterligne"/>
        <w:spacing w:line="360" w:lineRule="auto"/>
        <w:jc w:val="both"/>
        <w:rPr>
          <w:rFonts w:ascii="Arial" w:hAnsi="Arial" w:cs="Arial"/>
          <w:sz w:val="24"/>
          <w:szCs w:val="24"/>
          <w:lang w:val="es-CO"/>
        </w:rPr>
      </w:pPr>
      <w:r w:rsidRPr="00336027">
        <w:rPr>
          <w:rFonts w:ascii="Arial" w:hAnsi="Arial" w:cs="Arial"/>
          <w:sz w:val="24"/>
        </w:rPr>
        <w:t xml:space="preserve">Los requisitos son concurrentes, si está ausente uno, debe desecharse el estudio de la impugnación. Para </w:t>
      </w:r>
      <w:r>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Pr>
          <w:rFonts w:ascii="Arial" w:hAnsi="Arial" w:cs="Arial"/>
          <w:sz w:val="24"/>
          <w:szCs w:val="24"/>
          <w:lang w:val="es-CO"/>
        </w:rPr>
        <w:t>.</w:t>
      </w:r>
    </w:p>
    <w:p w:rsidR="00BA4602" w:rsidRPr="00570094" w:rsidRDefault="00BA4602" w:rsidP="00BA4602">
      <w:pPr>
        <w:pStyle w:val="Textopredeterminado"/>
        <w:spacing w:line="360" w:lineRule="auto"/>
        <w:jc w:val="both"/>
        <w:rPr>
          <w:rFonts w:ascii="Arial" w:hAnsi="Arial" w:cs="Arial"/>
        </w:rPr>
      </w:pPr>
    </w:p>
    <w:p w:rsidR="00BA4602" w:rsidRPr="00B1277B" w:rsidRDefault="00BA4602" w:rsidP="000B5A98">
      <w:pPr>
        <w:pStyle w:val="Corpsdetexte"/>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sz w:val="24"/>
          <w:szCs w:val="24"/>
        </w:rPr>
      </w:pPr>
      <w:r w:rsidRPr="00BA4602">
        <w:rPr>
          <w:rFonts w:ascii="Arial" w:hAnsi="Arial" w:cs="Arial"/>
          <w:smallCaps/>
          <w:sz w:val="24"/>
          <w:lang w:val="es-CO"/>
        </w:rPr>
        <w:t xml:space="preserve">El problema jurídico para resolver. </w:t>
      </w:r>
      <w:r w:rsidRPr="00B1277B">
        <w:rPr>
          <w:rFonts w:ascii="Arial" w:hAnsi="Arial"/>
          <w:sz w:val="24"/>
          <w:szCs w:val="24"/>
        </w:rPr>
        <w:t xml:space="preserve">¿Es procedente modificar, confirmar o revocar la decisión del </w:t>
      </w:r>
      <w:r w:rsidRPr="00B1277B">
        <w:rPr>
          <w:rFonts w:ascii="Arial" w:hAnsi="Arial" w:cs="Arial"/>
          <w:sz w:val="24"/>
          <w:szCs w:val="24"/>
          <w:lang w:val="es-MX"/>
        </w:rPr>
        <w:t>Juzgado Segundo Civil del Circuito de Pereira</w:t>
      </w:r>
      <w:r w:rsidRPr="00B1277B">
        <w:rPr>
          <w:rFonts w:ascii="Arial" w:hAnsi="Arial"/>
          <w:sz w:val="24"/>
          <w:szCs w:val="24"/>
        </w:rPr>
        <w:t>, por medio de la cual se declaró terminado el proceso por desistimiento tácito, según la apelación interpuesta por la parte demandante?</w:t>
      </w:r>
    </w:p>
    <w:p w:rsidR="00BA4602" w:rsidRPr="00570094" w:rsidRDefault="00BA4602" w:rsidP="00BA4602">
      <w:pPr>
        <w:pStyle w:val="Textopredeterminado"/>
        <w:spacing w:line="360" w:lineRule="auto"/>
        <w:jc w:val="both"/>
        <w:rPr>
          <w:rFonts w:ascii="Arial" w:hAnsi="Arial" w:cs="Arial"/>
        </w:rPr>
      </w:pPr>
    </w:p>
    <w:p w:rsidR="00BA4602" w:rsidRPr="00D4444F" w:rsidRDefault="00BA4602" w:rsidP="00BA4602">
      <w:pPr>
        <w:pStyle w:val="Textopredeterminado"/>
        <w:numPr>
          <w:ilvl w:val="1"/>
          <w:numId w:val="4"/>
        </w:numPr>
        <w:spacing w:line="360" w:lineRule="auto"/>
        <w:jc w:val="both"/>
        <w:rPr>
          <w:rFonts w:ascii="Arial" w:hAnsi="Arial" w:cs="Arial"/>
          <w:smallCaps/>
        </w:rPr>
      </w:pPr>
      <w:r w:rsidRPr="00D4444F">
        <w:rPr>
          <w:rFonts w:ascii="Arial" w:hAnsi="Arial" w:cs="Arial"/>
          <w:smallCaps/>
        </w:rPr>
        <w:t>La resolución del problema jurídico</w:t>
      </w:r>
    </w:p>
    <w:p w:rsidR="00CA0ECE" w:rsidRDefault="00CA0ECE" w:rsidP="00CA0ECE">
      <w:pPr>
        <w:pStyle w:val="Paragraphedeliste"/>
        <w:tabs>
          <w:tab w:val="left" w:pos="360"/>
        </w:tabs>
        <w:spacing w:line="360" w:lineRule="auto"/>
        <w:ind w:left="0"/>
        <w:jc w:val="both"/>
        <w:rPr>
          <w:rFonts w:cs="Arial"/>
          <w:sz w:val="22"/>
          <w:szCs w:val="22"/>
        </w:rPr>
      </w:pPr>
    </w:p>
    <w:p w:rsidR="003D6613" w:rsidRPr="00B1277B" w:rsidRDefault="0011637F" w:rsidP="00BA4602">
      <w:pPr>
        <w:pStyle w:val="Paragraphedeliste"/>
        <w:numPr>
          <w:ilvl w:val="2"/>
          <w:numId w:val="4"/>
        </w:numPr>
        <w:overflowPunct w:val="0"/>
        <w:autoSpaceDE w:val="0"/>
        <w:autoSpaceDN w:val="0"/>
        <w:adjustRightInd w:val="0"/>
        <w:spacing w:line="360" w:lineRule="auto"/>
        <w:jc w:val="both"/>
        <w:textAlignment w:val="baseline"/>
        <w:rPr>
          <w:rFonts w:ascii="Arial" w:hAnsi="Arial" w:cs="Arial"/>
          <w:smallCaps/>
          <w:szCs w:val="22"/>
        </w:rPr>
      </w:pPr>
      <w:r w:rsidRPr="00B1277B">
        <w:rPr>
          <w:rFonts w:ascii="Arial" w:hAnsi="Arial" w:cs="Arial"/>
          <w:smallCaps/>
          <w:szCs w:val="22"/>
        </w:rPr>
        <w:t>El desistimiento tácito</w:t>
      </w:r>
      <w:r w:rsidR="002767AA" w:rsidRPr="00B1277B">
        <w:rPr>
          <w:rFonts w:ascii="Arial" w:hAnsi="Arial" w:cs="Arial"/>
          <w:smallCaps/>
          <w:szCs w:val="22"/>
        </w:rPr>
        <w:t xml:space="preserve"> en </w:t>
      </w:r>
      <w:r w:rsidR="004220D6" w:rsidRPr="00B1277B">
        <w:rPr>
          <w:rFonts w:ascii="Arial" w:hAnsi="Arial" w:cs="Arial"/>
          <w:smallCaps/>
          <w:szCs w:val="22"/>
        </w:rPr>
        <w:t xml:space="preserve">el </w:t>
      </w:r>
      <w:proofErr w:type="spellStart"/>
      <w:r w:rsidR="00D84252" w:rsidRPr="00B1277B">
        <w:rPr>
          <w:rFonts w:ascii="Arial" w:hAnsi="Arial" w:cs="Arial"/>
          <w:smallCaps/>
          <w:szCs w:val="22"/>
        </w:rPr>
        <w:t>cgp</w:t>
      </w:r>
      <w:proofErr w:type="spellEnd"/>
    </w:p>
    <w:p w:rsidR="00F02018" w:rsidRPr="008672BE" w:rsidRDefault="00F02018" w:rsidP="00812E9D">
      <w:pPr>
        <w:pStyle w:val="Sansinterligne"/>
        <w:spacing w:line="360" w:lineRule="auto"/>
        <w:jc w:val="both"/>
        <w:rPr>
          <w:rFonts w:ascii="Arial" w:hAnsi="Arial" w:cs="Arial"/>
          <w:sz w:val="24"/>
          <w:szCs w:val="24"/>
        </w:rPr>
      </w:pPr>
    </w:p>
    <w:p w:rsidR="00F62C29" w:rsidRPr="008672BE" w:rsidRDefault="00691315" w:rsidP="00F62C29">
      <w:pPr>
        <w:pStyle w:val="Sansinterligne"/>
        <w:spacing w:line="360" w:lineRule="auto"/>
        <w:jc w:val="both"/>
        <w:rPr>
          <w:rFonts w:ascii="Arial" w:hAnsi="Arial" w:cs="Arial"/>
          <w:sz w:val="24"/>
          <w:szCs w:val="24"/>
        </w:rPr>
      </w:pPr>
      <w:r w:rsidRPr="008672BE">
        <w:rPr>
          <w:rFonts w:ascii="Arial" w:hAnsi="Arial" w:cs="Arial"/>
          <w:sz w:val="24"/>
          <w:szCs w:val="24"/>
        </w:rPr>
        <w:t xml:space="preserve">La figura se incorporó a nuestro sistema procesal a partir de la Ley 1194 del </w:t>
      </w:r>
      <w:r w:rsidR="006054BE" w:rsidRPr="008672BE">
        <w:rPr>
          <w:rFonts w:ascii="Arial" w:hAnsi="Arial" w:cs="Arial"/>
          <w:sz w:val="24"/>
          <w:szCs w:val="24"/>
        </w:rPr>
        <w:t xml:space="preserve">09-05-2008, </w:t>
      </w:r>
      <w:r w:rsidR="00F62C29" w:rsidRPr="008672BE">
        <w:rPr>
          <w:rFonts w:ascii="Arial" w:hAnsi="Arial" w:cs="Arial"/>
          <w:i/>
          <w:sz w:val="24"/>
          <w:szCs w:val="24"/>
        </w:rPr>
        <w:t>“</w:t>
      </w:r>
      <w:r w:rsidR="00F62C29" w:rsidRPr="008672BE">
        <w:rPr>
          <w:rFonts w:ascii="Arial" w:hAnsi="Arial" w:cs="Arial"/>
          <w:i/>
          <w:szCs w:val="24"/>
        </w:rPr>
        <w:t>Por medio de la cual se reforma el Código de Procedimiento Civil y se dictan otras disposiciones</w:t>
      </w:r>
      <w:r w:rsidR="00F62C29" w:rsidRPr="008672BE">
        <w:rPr>
          <w:rFonts w:ascii="Arial" w:hAnsi="Arial" w:cs="Arial"/>
          <w:i/>
          <w:sz w:val="24"/>
          <w:szCs w:val="24"/>
        </w:rPr>
        <w:t>”</w:t>
      </w:r>
      <w:r w:rsidR="00F62C29" w:rsidRPr="008672BE">
        <w:rPr>
          <w:rFonts w:ascii="Arial" w:hAnsi="Arial" w:cs="Arial"/>
          <w:sz w:val="24"/>
          <w:szCs w:val="24"/>
        </w:rPr>
        <w:t>, como una forma más</w:t>
      </w:r>
      <w:r w:rsidR="006054BE" w:rsidRPr="008672BE">
        <w:rPr>
          <w:rFonts w:ascii="Arial" w:hAnsi="Arial" w:cs="Arial"/>
          <w:sz w:val="24"/>
          <w:szCs w:val="24"/>
        </w:rPr>
        <w:t>,</w:t>
      </w:r>
      <w:r w:rsidR="00F62C29" w:rsidRPr="008672BE">
        <w:rPr>
          <w:rFonts w:ascii="Arial" w:hAnsi="Arial" w:cs="Arial"/>
          <w:sz w:val="24"/>
          <w:szCs w:val="24"/>
        </w:rPr>
        <w:t xml:space="preserve"> de terminación anormal de los procesos civiles y de familia, de oficio o a petición de parte.</w:t>
      </w:r>
    </w:p>
    <w:p w:rsidR="00F62C29" w:rsidRPr="008672BE" w:rsidRDefault="00F62C29" w:rsidP="00F62C29">
      <w:pPr>
        <w:pStyle w:val="Sansinterligne"/>
        <w:spacing w:line="360" w:lineRule="auto"/>
        <w:jc w:val="both"/>
        <w:rPr>
          <w:rFonts w:ascii="Arial" w:hAnsi="Arial" w:cs="Arial"/>
          <w:sz w:val="24"/>
          <w:szCs w:val="24"/>
        </w:rPr>
      </w:pPr>
    </w:p>
    <w:p w:rsidR="00F62C29" w:rsidRPr="008672BE" w:rsidRDefault="002407B2" w:rsidP="00F62C29">
      <w:pPr>
        <w:pStyle w:val="Sansinterligne"/>
        <w:spacing w:line="360" w:lineRule="auto"/>
        <w:jc w:val="both"/>
        <w:rPr>
          <w:rFonts w:ascii="Arial" w:hAnsi="Arial" w:cs="Arial"/>
          <w:sz w:val="24"/>
          <w:szCs w:val="24"/>
        </w:rPr>
      </w:pPr>
      <w:r w:rsidRPr="008672BE">
        <w:rPr>
          <w:rFonts w:ascii="Arial" w:hAnsi="Arial" w:cs="Arial"/>
          <w:sz w:val="24"/>
          <w:szCs w:val="24"/>
        </w:rPr>
        <w:t xml:space="preserve">La </w:t>
      </w:r>
      <w:r w:rsidR="00F62C29" w:rsidRPr="008672BE">
        <w:rPr>
          <w:rFonts w:ascii="Arial" w:hAnsi="Arial" w:cs="Arial"/>
          <w:sz w:val="24"/>
          <w:szCs w:val="24"/>
        </w:rPr>
        <w:t>CC</w:t>
      </w:r>
      <w:r w:rsidR="00F62C29" w:rsidRPr="008672BE">
        <w:rPr>
          <w:rFonts w:ascii="Arial" w:hAnsi="Arial" w:cs="Arial"/>
          <w:sz w:val="24"/>
          <w:szCs w:val="24"/>
          <w:vertAlign w:val="superscript"/>
        </w:rPr>
        <w:footnoteReference w:id="5"/>
      </w:r>
      <w:r>
        <w:rPr>
          <w:rFonts w:ascii="Arial" w:hAnsi="Arial" w:cs="Arial"/>
          <w:sz w:val="24"/>
          <w:szCs w:val="24"/>
        </w:rPr>
        <w:t xml:space="preserve">, </w:t>
      </w:r>
      <w:r w:rsidR="006054BE" w:rsidRPr="008672BE">
        <w:rPr>
          <w:rFonts w:ascii="Arial" w:hAnsi="Arial" w:cs="Arial"/>
          <w:sz w:val="24"/>
          <w:szCs w:val="24"/>
        </w:rPr>
        <w:t>al ocuparse</w:t>
      </w:r>
      <w:r w:rsidR="00F62C29" w:rsidRPr="008672BE">
        <w:rPr>
          <w:rFonts w:ascii="Arial" w:hAnsi="Arial" w:cs="Arial"/>
          <w:sz w:val="24"/>
          <w:szCs w:val="24"/>
        </w:rPr>
        <w:t xml:space="preserve"> de su </w:t>
      </w:r>
      <w:r w:rsidR="005968CB">
        <w:rPr>
          <w:rFonts w:ascii="Arial" w:hAnsi="Arial" w:cs="Arial"/>
          <w:sz w:val="24"/>
          <w:szCs w:val="24"/>
        </w:rPr>
        <w:t>in</w:t>
      </w:r>
      <w:r w:rsidR="00F62C29" w:rsidRPr="008672BE">
        <w:rPr>
          <w:rFonts w:ascii="Arial" w:hAnsi="Arial" w:cs="Arial"/>
          <w:sz w:val="24"/>
          <w:szCs w:val="24"/>
        </w:rPr>
        <w:t>constitucionalidad</w:t>
      </w:r>
      <w:r w:rsidR="00F92CC0">
        <w:rPr>
          <w:rFonts w:ascii="Arial" w:hAnsi="Arial" w:cs="Arial"/>
          <w:sz w:val="24"/>
          <w:szCs w:val="24"/>
        </w:rPr>
        <w:t>,</w:t>
      </w:r>
      <w:r>
        <w:rPr>
          <w:rFonts w:ascii="Arial" w:hAnsi="Arial" w:cs="Arial"/>
          <w:sz w:val="24"/>
          <w:szCs w:val="24"/>
        </w:rPr>
        <w:t xml:space="preserve"> en su momento</w:t>
      </w:r>
      <w:r w:rsidRPr="008672BE">
        <w:rPr>
          <w:rFonts w:ascii="Arial" w:hAnsi="Arial" w:cs="Arial"/>
          <w:sz w:val="24"/>
          <w:szCs w:val="24"/>
        </w:rPr>
        <w:t xml:space="preserve"> (2008)</w:t>
      </w:r>
      <w:r w:rsidR="00F62C29" w:rsidRPr="008672BE">
        <w:rPr>
          <w:rFonts w:ascii="Arial" w:hAnsi="Arial" w:cs="Arial"/>
          <w:sz w:val="24"/>
          <w:szCs w:val="24"/>
        </w:rPr>
        <w:t xml:space="preserve">, </w:t>
      </w:r>
      <w:r w:rsidR="006054BE" w:rsidRPr="008672BE">
        <w:rPr>
          <w:rFonts w:ascii="Arial" w:hAnsi="Arial" w:cs="Arial"/>
          <w:sz w:val="24"/>
          <w:szCs w:val="24"/>
        </w:rPr>
        <w:t>dijo</w:t>
      </w:r>
      <w:r w:rsidR="00F62C29" w:rsidRPr="008672BE">
        <w:rPr>
          <w:rFonts w:ascii="Arial" w:hAnsi="Arial" w:cs="Arial"/>
          <w:sz w:val="24"/>
          <w:szCs w:val="24"/>
        </w:rPr>
        <w:t>:”</w:t>
      </w:r>
      <w:r w:rsidR="00F62C29" w:rsidRPr="008672BE">
        <w:rPr>
          <w:rFonts w:ascii="Arial" w:hAnsi="Arial" w:cs="Arial"/>
          <w:i/>
          <w:szCs w:val="24"/>
        </w:rPr>
        <w:t>(…) es una forma anormal de terminación del proceso, que se sigue como consecuencia jurídica del incumplimiento de una carga procesal a cargo de la parte que promovió un trámite, y de la cual depende la continuación del proceso, pero no la cumple en un determinado lapso, con la cual se busca sancionar no sólo la desidia sino también el abuso de los derechos procesales. (…)</w:t>
      </w:r>
      <w:r w:rsidR="005E3BD4" w:rsidRPr="008672BE">
        <w:rPr>
          <w:rFonts w:ascii="Arial" w:hAnsi="Arial" w:cs="Arial"/>
          <w:i/>
          <w:sz w:val="24"/>
          <w:szCs w:val="24"/>
        </w:rPr>
        <w:t>”</w:t>
      </w:r>
      <w:r w:rsidR="00F62C29" w:rsidRPr="008672BE">
        <w:rPr>
          <w:rFonts w:ascii="Arial" w:hAnsi="Arial" w:cs="Arial"/>
          <w:sz w:val="24"/>
          <w:szCs w:val="24"/>
        </w:rPr>
        <w:t>.</w:t>
      </w:r>
      <w:r w:rsidR="00B14D71" w:rsidRPr="008672BE">
        <w:rPr>
          <w:rFonts w:ascii="Arial" w:hAnsi="Arial" w:cs="Arial"/>
          <w:sz w:val="24"/>
          <w:szCs w:val="24"/>
        </w:rPr>
        <w:t xml:space="preserve">  </w:t>
      </w:r>
      <w:r w:rsidR="00F62C29" w:rsidRPr="008672BE">
        <w:rPr>
          <w:rFonts w:ascii="Arial" w:hAnsi="Arial" w:cs="Arial"/>
          <w:sz w:val="24"/>
          <w:szCs w:val="24"/>
        </w:rPr>
        <w:t xml:space="preserve">El </w:t>
      </w:r>
      <w:r w:rsidR="00F62C29" w:rsidRPr="008672BE">
        <w:rPr>
          <w:rFonts w:ascii="Arial" w:hAnsi="Arial" w:cs="Arial"/>
          <w:sz w:val="24"/>
          <w:szCs w:val="24"/>
        </w:rPr>
        <w:lastRenderedPageBreak/>
        <w:t xml:space="preserve">concepto fue reiterado </w:t>
      </w:r>
      <w:r w:rsidR="00B14D71" w:rsidRPr="008672BE">
        <w:rPr>
          <w:rFonts w:ascii="Arial" w:hAnsi="Arial" w:cs="Arial"/>
          <w:sz w:val="24"/>
          <w:szCs w:val="24"/>
        </w:rPr>
        <w:t>por la misma</w:t>
      </w:r>
      <w:r w:rsidR="00F62C29" w:rsidRPr="008672BE">
        <w:rPr>
          <w:rFonts w:ascii="Arial" w:hAnsi="Arial" w:cs="Arial"/>
          <w:sz w:val="24"/>
          <w:szCs w:val="24"/>
        </w:rPr>
        <w:t xml:space="preserve"> Corporación</w:t>
      </w:r>
      <w:r w:rsidR="00F62C29" w:rsidRPr="008672BE">
        <w:rPr>
          <w:rFonts w:ascii="Arial" w:hAnsi="Arial" w:cs="Arial"/>
          <w:sz w:val="24"/>
          <w:szCs w:val="24"/>
          <w:vertAlign w:val="superscript"/>
        </w:rPr>
        <w:footnoteReference w:id="6"/>
      </w:r>
      <w:r w:rsidR="00B14D71" w:rsidRPr="008672BE">
        <w:rPr>
          <w:rFonts w:ascii="Arial" w:hAnsi="Arial" w:cs="Arial"/>
          <w:sz w:val="24"/>
          <w:szCs w:val="24"/>
        </w:rPr>
        <w:t xml:space="preserve"> en </w:t>
      </w:r>
      <w:r w:rsidR="00EF08FE" w:rsidRPr="008672BE">
        <w:rPr>
          <w:rFonts w:ascii="Arial" w:hAnsi="Arial" w:cs="Arial"/>
          <w:sz w:val="24"/>
          <w:szCs w:val="24"/>
        </w:rPr>
        <w:t xml:space="preserve">el año </w:t>
      </w:r>
      <w:r w:rsidR="00B14D71" w:rsidRPr="008672BE">
        <w:rPr>
          <w:rFonts w:ascii="Arial" w:hAnsi="Arial" w:cs="Arial"/>
          <w:sz w:val="24"/>
          <w:szCs w:val="24"/>
        </w:rPr>
        <w:t>2010</w:t>
      </w:r>
      <w:r w:rsidR="00F62C29" w:rsidRPr="008672BE">
        <w:rPr>
          <w:rFonts w:ascii="Arial" w:hAnsi="Arial" w:cs="Arial"/>
          <w:sz w:val="24"/>
          <w:szCs w:val="24"/>
        </w:rPr>
        <w:t xml:space="preserve">, cuando hubo de revisar la </w:t>
      </w:r>
      <w:proofErr w:type="spellStart"/>
      <w:r w:rsidR="00F92CC0">
        <w:rPr>
          <w:rFonts w:ascii="Arial" w:hAnsi="Arial" w:cs="Arial"/>
          <w:sz w:val="24"/>
          <w:szCs w:val="24"/>
        </w:rPr>
        <w:t>inexequibilidad</w:t>
      </w:r>
      <w:proofErr w:type="spellEnd"/>
      <w:r w:rsidR="00F92CC0">
        <w:rPr>
          <w:rFonts w:ascii="Arial" w:hAnsi="Arial" w:cs="Arial"/>
          <w:sz w:val="24"/>
          <w:szCs w:val="24"/>
        </w:rPr>
        <w:t xml:space="preserve"> </w:t>
      </w:r>
      <w:r w:rsidR="00F62C29" w:rsidRPr="008672BE">
        <w:rPr>
          <w:rFonts w:ascii="Arial" w:hAnsi="Arial" w:cs="Arial"/>
          <w:sz w:val="24"/>
          <w:szCs w:val="24"/>
        </w:rPr>
        <w:t>de la norma por omisión legislativa, respecto de los procesos laborales</w:t>
      </w:r>
      <w:r w:rsidR="00F62C29" w:rsidRPr="008672BE">
        <w:rPr>
          <w:rFonts w:ascii="Arial" w:hAnsi="Arial" w:cs="Arial"/>
          <w:sz w:val="24"/>
          <w:szCs w:val="24"/>
          <w:lang w:val="es-CO"/>
        </w:rPr>
        <w:t>.</w:t>
      </w:r>
    </w:p>
    <w:p w:rsidR="00F62C29" w:rsidRPr="008672BE" w:rsidRDefault="00F62C29" w:rsidP="00F62C29">
      <w:pPr>
        <w:pStyle w:val="Sansinterligne"/>
        <w:spacing w:line="360" w:lineRule="auto"/>
        <w:jc w:val="both"/>
        <w:rPr>
          <w:rFonts w:ascii="Arial" w:hAnsi="Arial" w:cs="Arial"/>
          <w:sz w:val="24"/>
          <w:szCs w:val="24"/>
        </w:rPr>
      </w:pPr>
    </w:p>
    <w:p w:rsidR="003E12F7" w:rsidRPr="008672BE" w:rsidRDefault="003E12F7" w:rsidP="00F62C29">
      <w:pPr>
        <w:pStyle w:val="Sansinterligne"/>
        <w:spacing w:line="360" w:lineRule="auto"/>
        <w:jc w:val="both"/>
        <w:rPr>
          <w:rFonts w:ascii="Arial" w:hAnsi="Arial" w:cs="Arial"/>
          <w:sz w:val="24"/>
          <w:szCs w:val="24"/>
        </w:rPr>
      </w:pPr>
      <w:r w:rsidRPr="008672BE">
        <w:rPr>
          <w:rFonts w:ascii="Arial" w:hAnsi="Arial" w:cs="Arial"/>
          <w:sz w:val="24"/>
          <w:szCs w:val="24"/>
        </w:rPr>
        <w:t>Las consecuencias adversas del legislador, se conc</w:t>
      </w:r>
      <w:r w:rsidR="002407B2">
        <w:rPr>
          <w:rFonts w:ascii="Arial" w:hAnsi="Arial" w:cs="Arial"/>
          <w:sz w:val="24"/>
          <w:szCs w:val="24"/>
        </w:rPr>
        <w:t>i</w:t>
      </w:r>
      <w:r w:rsidRPr="008672BE">
        <w:rPr>
          <w:rFonts w:ascii="Arial" w:hAnsi="Arial" w:cs="Arial"/>
          <w:sz w:val="24"/>
          <w:szCs w:val="24"/>
        </w:rPr>
        <w:t xml:space="preserve">bieron como efecto por haber desatendido el deber de colaborar con la administración de justicia, cuya finalidad es proteger el derecho de todas las personas </w:t>
      </w:r>
      <w:r w:rsidR="00F92CC0">
        <w:rPr>
          <w:rFonts w:ascii="Arial" w:hAnsi="Arial" w:cs="Arial"/>
          <w:sz w:val="24"/>
          <w:szCs w:val="24"/>
        </w:rPr>
        <w:t>par</w:t>
      </w:r>
      <w:r w:rsidRPr="008672BE">
        <w:rPr>
          <w:rFonts w:ascii="Arial" w:hAnsi="Arial" w:cs="Arial"/>
          <w:sz w:val="24"/>
          <w:szCs w:val="24"/>
        </w:rPr>
        <w:t xml:space="preserve">a acceder a un </w:t>
      </w:r>
      <w:r w:rsidR="00F92CC0">
        <w:rPr>
          <w:rFonts w:ascii="Arial" w:hAnsi="Arial" w:cs="Arial"/>
          <w:sz w:val="24"/>
          <w:szCs w:val="24"/>
        </w:rPr>
        <w:t xml:space="preserve">servicio </w:t>
      </w:r>
      <w:r w:rsidRPr="008672BE">
        <w:rPr>
          <w:rFonts w:ascii="Arial" w:hAnsi="Arial" w:cs="Arial"/>
          <w:sz w:val="24"/>
          <w:szCs w:val="24"/>
        </w:rPr>
        <w:t>de justicia diligente, célere, eficaz y eficiente, al debido proceso y la solución oportuna de los conflictos.</w:t>
      </w:r>
    </w:p>
    <w:p w:rsidR="003E12F7" w:rsidRPr="008672BE" w:rsidRDefault="003E12F7" w:rsidP="00F62C29">
      <w:pPr>
        <w:pStyle w:val="Sansinterligne"/>
        <w:spacing w:line="360" w:lineRule="auto"/>
        <w:jc w:val="both"/>
        <w:rPr>
          <w:rFonts w:ascii="Arial" w:hAnsi="Arial" w:cs="Arial"/>
          <w:sz w:val="24"/>
          <w:szCs w:val="24"/>
        </w:rPr>
      </w:pPr>
    </w:p>
    <w:p w:rsidR="00AF6543" w:rsidRDefault="006A653B" w:rsidP="00873B92">
      <w:pPr>
        <w:spacing w:line="360" w:lineRule="auto"/>
        <w:jc w:val="both"/>
        <w:rPr>
          <w:rFonts w:ascii="Arial" w:hAnsi="Arial" w:cs="Arial"/>
        </w:rPr>
      </w:pPr>
      <w:r w:rsidRPr="008672BE">
        <w:rPr>
          <w:rFonts w:ascii="Arial" w:hAnsi="Arial" w:cs="Arial"/>
        </w:rPr>
        <w:t xml:space="preserve">Algún sector de la </w:t>
      </w:r>
      <w:r w:rsidR="00F063B9" w:rsidRPr="008672BE">
        <w:rPr>
          <w:rFonts w:ascii="Arial" w:hAnsi="Arial" w:cs="Arial"/>
        </w:rPr>
        <w:t>doctrina especializada</w:t>
      </w:r>
      <w:r w:rsidR="00873B92" w:rsidRPr="008672BE">
        <w:rPr>
          <w:rFonts w:ascii="Arial" w:hAnsi="Arial" w:cs="Arial"/>
        </w:rPr>
        <w:t>,</w:t>
      </w:r>
      <w:r w:rsidR="00F063B9" w:rsidRPr="008672BE">
        <w:rPr>
          <w:rFonts w:ascii="Arial" w:hAnsi="Arial" w:cs="Arial"/>
        </w:rPr>
        <w:t xml:space="preserve"> ha dicho que </w:t>
      </w:r>
      <w:r w:rsidR="00BE6006" w:rsidRPr="008672BE">
        <w:rPr>
          <w:rFonts w:ascii="Arial" w:hAnsi="Arial" w:cs="Arial"/>
        </w:rPr>
        <w:t>se trata de la misma perención</w:t>
      </w:r>
      <w:r w:rsidR="005148E9" w:rsidRPr="008672BE">
        <w:rPr>
          <w:rStyle w:val="Appelnotedebasdep"/>
          <w:rFonts w:ascii="Arial" w:hAnsi="Arial"/>
        </w:rPr>
        <w:footnoteReference w:id="7"/>
      </w:r>
      <w:r w:rsidR="00BE6006" w:rsidRPr="008672BE">
        <w:rPr>
          <w:rFonts w:ascii="Arial" w:hAnsi="Arial" w:cs="Arial"/>
        </w:rPr>
        <w:t>, la otrora caducidad de la instancia</w:t>
      </w:r>
      <w:r w:rsidR="00873B92" w:rsidRPr="008672BE">
        <w:rPr>
          <w:rFonts w:ascii="Arial" w:hAnsi="Arial" w:cs="Arial"/>
        </w:rPr>
        <w:t xml:space="preserve">, </w:t>
      </w:r>
      <w:r w:rsidR="000B6B97" w:rsidRPr="008672BE">
        <w:rPr>
          <w:rFonts w:ascii="Arial" w:hAnsi="Arial" w:cs="Arial"/>
        </w:rPr>
        <w:t xml:space="preserve">que aparecía </w:t>
      </w:r>
      <w:r w:rsidR="00873B92" w:rsidRPr="008672BE">
        <w:rPr>
          <w:rFonts w:ascii="Arial" w:hAnsi="Arial" w:cs="Arial"/>
        </w:rPr>
        <w:t xml:space="preserve">prevista </w:t>
      </w:r>
      <w:r w:rsidR="00BE6006" w:rsidRPr="008672BE">
        <w:rPr>
          <w:rFonts w:ascii="Arial" w:hAnsi="Arial" w:cs="Arial"/>
        </w:rPr>
        <w:t xml:space="preserve">en el artículo </w:t>
      </w:r>
      <w:r w:rsidR="005148E9" w:rsidRPr="008672BE">
        <w:rPr>
          <w:rFonts w:ascii="Arial" w:hAnsi="Arial" w:cs="Arial"/>
        </w:rPr>
        <w:t xml:space="preserve">364, Ley 105 de 1931 </w:t>
      </w:r>
      <w:r w:rsidR="00873B92" w:rsidRPr="008672BE">
        <w:rPr>
          <w:rFonts w:ascii="Arial" w:hAnsi="Arial" w:cs="Arial"/>
        </w:rPr>
        <w:t>o</w:t>
      </w:r>
      <w:r w:rsidR="005148E9" w:rsidRPr="008672BE">
        <w:rPr>
          <w:rFonts w:ascii="Arial" w:hAnsi="Arial" w:cs="Arial"/>
        </w:rPr>
        <w:t xml:space="preserve"> Código Judicial</w:t>
      </w:r>
      <w:r w:rsidR="009F6546" w:rsidRPr="008672BE">
        <w:rPr>
          <w:rFonts w:ascii="Arial" w:hAnsi="Arial" w:cs="Arial"/>
        </w:rPr>
        <w:t xml:space="preserve">, </w:t>
      </w:r>
      <w:r w:rsidR="00BE6D95" w:rsidRPr="008672BE">
        <w:rPr>
          <w:rFonts w:ascii="Arial" w:hAnsi="Arial" w:cs="Arial"/>
        </w:rPr>
        <w:t xml:space="preserve">con el siguiente tenor </w:t>
      </w:r>
      <w:r w:rsidR="009F6546" w:rsidRPr="008672BE">
        <w:rPr>
          <w:rFonts w:ascii="Arial" w:hAnsi="Arial" w:cs="Arial"/>
        </w:rPr>
        <w:t>literal</w:t>
      </w:r>
      <w:r w:rsidR="00873B92" w:rsidRPr="008672BE">
        <w:rPr>
          <w:rFonts w:ascii="Arial" w:hAnsi="Arial" w:cs="Arial"/>
        </w:rPr>
        <w:t xml:space="preserve">: </w:t>
      </w:r>
      <w:r w:rsidR="00873B92" w:rsidRPr="008672BE">
        <w:rPr>
          <w:rFonts w:ascii="Arial" w:hAnsi="Arial" w:cs="Arial"/>
          <w:i/>
        </w:rPr>
        <w:t>“</w:t>
      </w:r>
      <w:r w:rsidR="00873B92" w:rsidRPr="008672BE">
        <w:rPr>
          <w:rFonts w:ascii="Arial" w:hAnsi="Arial" w:cs="Arial"/>
          <w:i/>
          <w:sz w:val="22"/>
        </w:rPr>
        <w:t>Cuando El demandante abandone el juicio en la primera instancia, el Juez, si el demandado lo pide, decreta la caducidad de ésta, previo informe del Secretario. Se entiende que ha habido abandono cuando el demandante no ha hecho gestión alguna por escrito en el juicio durante un año, que se cuenta desde la notificación del último auto, o desde el día de la práctica de la última diligencia.  (…)</w:t>
      </w:r>
      <w:r w:rsidR="00873B92" w:rsidRPr="008672BE">
        <w:rPr>
          <w:rFonts w:ascii="Arial" w:hAnsi="Arial" w:cs="Arial"/>
          <w:i/>
        </w:rPr>
        <w:t>”.</w:t>
      </w:r>
      <w:r w:rsidR="009E5306">
        <w:rPr>
          <w:rFonts w:ascii="Arial" w:hAnsi="Arial" w:cs="Arial"/>
        </w:rPr>
        <w:t xml:space="preserve">  Las semejanzas son evidentes</w:t>
      </w:r>
      <w:r w:rsidR="00C67030">
        <w:rPr>
          <w:rFonts w:ascii="Arial" w:hAnsi="Arial" w:cs="Arial"/>
        </w:rPr>
        <w:t xml:space="preserve">, basta una </w:t>
      </w:r>
      <w:r w:rsidR="009E5306">
        <w:rPr>
          <w:rFonts w:ascii="Arial" w:hAnsi="Arial" w:cs="Arial"/>
        </w:rPr>
        <w:t>mer</w:t>
      </w:r>
      <w:r w:rsidR="00C67030">
        <w:rPr>
          <w:rFonts w:ascii="Arial" w:hAnsi="Arial" w:cs="Arial"/>
        </w:rPr>
        <w:t>a lectura del enunciado literal para entenderlo.</w:t>
      </w:r>
    </w:p>
    <w:p w:rsidR="00CB4DA4" w:rsidRPr="009E5306" w:rsidRDefault="00CB4DA4" w:rsidP="00873B92">
      <w:pPr>
        <w:spacing w:line="360" w:lineRule="auto"/>
        <w:jc w:val="both"/>
        <w:rPr>
          <w:rFonts w:ascii="Arial" w:hAnsi="Arial" w:cs="Arial"/>
        </w:rPr>
      </w:pPr>
    </w:p>
    <w:p w:rsidR="00B816B1" w:rsidRPr="008672BE" w:rsidRDefault="00A04E7B" w:rsidP="001874E9">
      <w:pPr>
        <w:pStyle w:val="Titre2"/>
        <w:spacing w:line="360" w:lineRule="auto"/>
        <w:jc w:val="both"/>
        <w:rPr>
          <w:rFonts w:ascii="Arial" w:hAnsi="Arial" w:cs="Arial"/>
          <w:color w:val="auto"/>
          <w:sz w:val="24"/>
          <w:szCs w:val="24"/>
          <w:lang w:val="es-CO"/>
        </w:rPr>
      </w:pPr>
      <w:r w:rsidRPr="008672BE">
        <w:rPr>
          <w:rFonts w:ascii="Arial" w:hAnsi="Arial"/>
          <w:color w:val="auto"/>
          <w:sz w:val="24"/>
          <w:szCs w:val="24"/>
        </w:rPr>
        <w:t xml:space="preserve">Y la misma </w:t>
      </w:r>
      <w:r w:rsidR="001874E9" w:rsidRPr="008672BE">
        <w:rPr>
          <w:rFonts w:ascii="Arial" w:hAnsi="Arial"/>
          <w:color w:val="auto"/>
          <w:sz w:val="24"/>
          <w:szCs w:val="24"/>
        </w:rPr>
        <w:t>CC</w:t>
      </w:r>
      <w:r w:rsidR="00CF364A">
        <w:rPr>
          <w:rStyle w:val="Appelnotedebasdep"/>
          <w:rFonts w:ascii="Arial" w:hAnsi="Arial"/>
          <w:color w:val="auto"/>
          <w:sz w:val="24"/>
          <w:szCs w:val="24"/>
        </w:rPr>
        <w:footnoteReference w:id="8"/>
      </w:r>
      <w:r w:rsidRPr="008672BE">
        <w:rPr>
          <w:rFonts w:ascii="Arial" w:hAnsi="Arial"/>
          <w:color w:val="auto"/>
          <w:sz w:val="24"/>
          <w:szCs w:val="24"/>
        </w:rPr>
        <w:t>, precisó</w:t>
      </w:r>
      <w:r w:rsidR="00524B7C" w:rsidRPr="008672BE">
        <w:rPr>
          <w:rFonts w:ascii="Arial" w:hAnsi="Arial"/>
          <w:color w:val="auto"/>
          <w:sz w:val="24"/>
          <w:szCs w:val="24"/>
        </w:rPr>
        <w:t xml:space="preserve"> sobre el desistimiento tácito de la anterior normativa</w:t>
      </w:r>
      <w:r w:rsidR="001874E9" w:rsidRPr="008672BE">
        <w:rPr>
          <w:rFonts w:ascii="Arial" w:hAnsi="Arial"/>
          <w:color w:val="auto"/>
          <w:sz w:val="24"/>
          <w:szCs w:val="24"/>
        </w:rPr>
        <w:t xml:space="preserve">: </w:t>
      </w:r>
      <w:r w:rsidR="006079BD" w:rsidRPr="008672BE">
        <w:rPr>
          <w:rFonts w:ascii="Arial" w:hAnsi="Arial"/>
          <w:color w:val="auto"/>
          <w:sz w:val="24"/>
          <w:szCs w:val="24"/>
        </w:rPr>
        <w:t>“</w:t>
      </w:r>
      <w:r w:rsidR="006079BD" w:rsidRPr="00207483">
        <w:rPr>
          <w:rFonts w:ascii="Arial" w:hAnsi="Arial"/>
          <w:i/>
          <w:color w:val="auto"/>
          <w:sz w:val="22"/>
          <w:szCs w:val="24"/>
        </w:rPr>
        <w:t xml:space="preserve">(…) </w:t>
      </w:r>
      <w:r w:rsidR="001874E9" w:rsidRPr="00207483">
        <w:rPr>
          <w:rFonts w:ascii="Arial" w:hAnsi="Arial" w:cs="Arial"/>
          <w:i/>
          <w:color w:val="auto"/>
          <w:sz w:val="22"/>
          <w:szCs w:val="24"/>
          <w:lang w:val="es-CO"/>
        </w:rPr>
        <w:t xml:space="preserve">no es una figura novedosa en tanto ocupa el lugar que antes ocupó la perención como una forma anormal de terminación del proceso, imponible cuando </w:t>
      </w:r>
      <w:r w:rsidR="001874E9" w:rsidRPr="004F4447">
        <w:rPr>
          <w:rFonts w:ascii="Arial" w:hAnsi="Arial" w:cs="Arial"/>
          <w:i/>
          <w:color w:val="auto"/>
          <w:sz w:val="22"/>
          <w:szCs w:val="24"/>
          <w:lang w:val="es-CO"/>
        </w:rPr>
        <w:t>se acredita la inactividad de la parte a cuyas instancias se promovió un trámite o proceso, el cual se paralizó por su causa.</w:t>
      </w:r>
      <w:r w:rsidR="006079BD" w:rsidRPr="004F4447">
        <w:rPr>
          <w:rFonts w:ascii="Arial" w:hAnsi="Arial" w:cs="Arial"/>
          <w:i/>
          <w:color w:val="auto"/>
          <w:sz w:val="22"/>
          <w:szCs w:val="24"/>
          <w:lang w:val="es-CO"/>
        </w:rPr>
        <w:t>”.</w:t>
      </w:r>
      <w:r w:rsidR="003C4F84" w:rsidRPr="004F4447">
        <w:rPr>
          <w:rFonts w:ascii="Arial" w:hAnsi="Arial" w:cs="Arial"/>
          <w:color w:val="auto"/>
          <w:sz w:val="22"/>
          <w:szCs w:val="24"/>
          <w:lang w:val="es-CO"/>
        </w:rPr>
        <w:t xml:space="preserve">  </w:t>
      </w:r>
      <w:r w:rsidR="00E37C29" w:rsidRPr="001778E1">
        <w:rPr>
          <w:rFonts w:ascii="Arial" w:hAnsi="Arial" w:cs="Arial"/>
          <w:color w:val="auto"/>
          <w:sz w:val="24"/>
          <w:szCs w:val="24"/>
          <w:lang w:val="es-CO"/>
        </w:rPr>
        <w:t>Reforzó el corolario preindicado así:</w:t>
      </w:r>
      <w:r w:rsidR="00E37C29" w:rsidRPr="004F4447">
        <w:rPr>
          <w:rFonts w:ascii="Arial" w:hAnsi="Arial" w:cs="Arial"/>
          <w:color w:val="auto"/>
          <w:sz w:val="22"/>
          <w:szCs w:val="24"/>
          <w:lang w:val="es-CO"/>
        </w:rPr>
        <w:t xml:space="preserve"> </w:t>
      </w:r>
      <w:r w:rsidR="004F4447" w:rsidRPr="004F4447">
        <w:rPr>
          <w:rFonts w:ascii="Arial" w:hAnsi="Arial" w:cs="Arial"/>
          <w:color w:val="auto"/>
          <w:sz w:val="22"/>
          <w:szCs w:val="24"/>
          <w:lang w:val="es-CO"/>
        </w:rPr>
        <w:t>“</w:t>
      </w:r>
      <w:r w:rsidR="004F4447" w:rsidRPr="004F4447">
        <w:rPr>
          <w:rFonts w:ascii="Arial" w:hAnsi="Arial" w:cs="Arial"/>
          <w:i/>
          <w:color w:val="auto"/>
          <w:sz w:val="22"/>
          <w:szCs w:val="24"/>
        </w:rPr>
        <w:t>El desistimiento tácito guarda algunas similitudes relevantes con la perención. Primero, es una forma de terminación anormal del proceso, la instancia o la actuación (art. 1°, Ley 1194 de 2008); segundo, tiene lugar a consecuencia de la inactividad de una parte (ídem); tercero, opera sin necesidad de que la parte la solicite (ídem); cuarto, está llamada a aplicarse en los procesos civiles y de familia.</w:t>
      </w:r>
      <w:r w:rsidR="004F4447">
        <w:rPr>
          <w:rFonts w:ascii="Arial" w:hAnsi="Arial" w:cs="Arial"/>
          <w:i/>
          <w:color w:val="auto"/>
          <w:sz w:val="22"/>
          <w:szCs w:val="24"/>
        </w:rPr>
        <w:t>”.</w:t>
      </w:r>
    </w:p>
    <w:p w:rsidR="00B816B1" w:rsidRDefault="00B816B1" w:rsidP="001874E9">
      <w:pPr>
        <w:pStyle w:val="Titre2"/>
        <w:spacing w:line="360" w:lineRule="auto"/>
        <w:jc w:val="both"/>
        <w:rPr>
          <w:rFonts w:ascii="Arial" w:hAnsi="Arial" w:cs="Arial"/>
          <w:color w:val="auto"/>
          <w:sz w:val="24"/>
          <w:szCs w:val="24"/>
          <w:lang w:val="es-CO"/>
        </w:rPr>
      </w:pPr>
    </w:p>
    <w:p w:rsidR="00CF364A" w:rsidRPr="008672BE" w:rsidRDefault="00CF364A" w:rsidP="00CF364A">
      <w:pPr>
        <w:pStyle w:val="Sansinterligne"/>
        <w:spacing w:line="360" w:lineRule="auto"/>
        <w:jc w:val="both"/>
        <w:rPr>
          <w:rFonts w:ascii="Arial" w:hAnsi="Arial" w:cs="Arial"/>
          <w:sz w:val="24"/>
          <w:szCs w:val="24"/>
        </w:rPr>
      </w:pPr>
      <w:r>
        <w:rPr>
          <w:rFonts w:ascii="Arial" w:hAnsi="Arial" w:cs="Arial"/>
          <w:sz w:val="24"/>
          <w:szCs w:val="24"/>
        </w:rPr>
        <w:t xml:space="preserve">Posteriormente, </w:t>
      </w:r>
      <w:r w:rsidRPr="008672BE">
        <w:rPr>
          <w:rFonts w:ascii="Arial" w:hAnsi="Arial" w:cs="Arial"/>
          <w:sz w:val="24"/>
          <w:szCs w:val="24"/>
        </w:rPr>
        <w:t>la Ley 1564 del 15-07-2012 o Código General del Proceso - CGP, consagró</w:t>
      </w:r>
      <w:r>
        <w:rPr>
          <w:rFonts w:ascii="Arial" w:hAnsi="Arial" w:cs="Arial"/>
          <w:sz w:val="24"/>
          <w:szCs w:val="24"/>
        </w:rPr>
        <w:t>,</w:t>
      </w:r>
      <w:r w:rsidRPr="008672BE">
        <w:rPr>
          <w:rFonts w:ascii="Arial" w:hAnsi="Arial" w:cs="Arial"/>
          <w:sz w:val="24"/>
          <w:szCs w:val="24"/>
        </w:rPr>
        <w:t xml:space="preserve"> en su artículo 317, de nuevo la institución en comento, pero ahora con otras hipótesis normativas, cabe decir, fue ampliado su espectro de aplicación.</w:t>
      </w:r>
    </w:p>
    <w:p w:rsidR="00461066" w:rsidRDefault="003C4F84" w:rsidP="00461066">
      <w:pPr>
        <w:pStyle w:val="Titre2"/>
        <w:spacing w:line="360" w:lineRule="auto"/>
        <w:jc w:val="both"/>
        <w:rPr>
          <w:rFonts w:ascii="Arial" w:hAnsi="Arial" w:cs="Arial"/>
          <w:color w:val="auto"/>
          <w:sz w:val="24"/>
          <w:szCs w:val="24"/>
          <w:lang w:val="es-CO"/>
        </w:rPr>
      </w:pPr>
      <w:r w:rsidRPr="008672BE">
        <w:rPr>
          <w:rFonts w:ascii="Arial" w:hAnsi="Arial" w:cs="Arial"/>
          <w:color w:val="auto"/>
          <w:sz w:val="24"/>
          <w:szCs w:val="24"/>
          <w:lang w:val="es-CO"/>
        </w:rPr>
        <w:lastRenderedPageBreak/>
        <w:t xml:space="preserve">Al revisar la nueva estructura de </w:t>
      </w:r>
      <w:r w:rsidR="00CF364A">
        <w:rPr>
          <w:rFonts w:ascii="Arial" w:hAnsi="Arial" w:cs="Arial"/>
          <w:color w:val="auto"/>
          <w:sz w:val="24"/>
          <w:szCs w:val="24"/>
          <w:lang w:val="es-CO"/>
        </w:rPr>
        <w:t>es</w:t>
      </w:r>
      <w:r w:rsidRPr="008672BE">
        <w:rPr>
          <w:rFonts w:ascii="Arial" w:hAnsi="Arial" w:cs="Arial"/>
          <w:color w:val="auto"/>
          <w:sz w:val="24"/>
          <w:szCs w:val="24"/>
          <w:lang w:val="es-CO"/>
        </w:rPr>
        <w:t>a regla</w:t>
      </w:r>
      <w:r w:rsidR="00FF2198">
        <w:rPr>
          <w:rFonts w:ascii="Arial" w:hAnsi="Arial" w:cs="Arial"/>
          <w:color w:val="auto"/>
          <w:sz w:val="24"/>
          <w:szCs w:val="24"/>
          <w:lang w:val="es-CO"/>
        </w:rPr>
        <w:t>,</w:t>
      </w:r>
      <w:r w:rsidRPr="008672BE">
        <w:rPr>
          <w:rFonts w:ascii="Arial" w:hAnsi="Arial" w:cs="Arial"/>
          <w:color w:val="auto"/>
          <w:sz w:val="24"/>
          <w:szCs w:val="24"/>
          <w:lang w:val="es-CO"/>
        </w:rPr>
        <w:t xml:space="preserve"> se advierte que son tres (3) las hipótesis normativas que pueden darse para su aplicación, a saber: (i) </w:t>
      </w:r>
      <w:r w:rsidR="00D42607">
        <w:rPr>
          <w:rFonts w:ascii="Arial" w:hAnsi="Arial" w:cs="Arial"/>
          <w:color w:val="auto"/>
          <w:sz w:val="24"/>
          <w:szCs w:val="24"/>
          <w:lang w:val="es-CO"/>
        </w:rPr>
        <w:t>La del ordinal primero (317-1º; (ii) La prescrita e</w:t>
      </w:r>
      <w:r w:rsidRPr="008672BE">
        <w:rPr>
          <w:rFonts w:ascii="Arial" w:hAnsi="Arial" w:cs="Arial"/>
          <w:color w:val="auto"/>
          <w:sz w:val="24"/>
          <w:szCs w:val="24"/>
          <w:lang w:val="es-CO"/>
        </w:rPr>
        <w:t xml:space="preserve">n el numeral segundo (317-2º); y, (iii) </w:t>
      </w:r>
      <w:r w:rsidR="00D42607">
        <w:rPr>
          <w:rFonts w:ascii="Arial" w:hAnsi="Arial" w:cs="Arial"/>
          <w:color w:val="auto"/>
          <w:sz w:val="24"/>
          <w:szCs w:val="24"/>
          <w:lang w:val="es-CO"/>
        </w:rPr>
        <w:t>La consagrada e</w:t>
      </w:r>
      <w:r w:rsidRPr="008672BE">
        <w:rPr>
          <w:rFonts w:ascii="Arial" w:hAnsi="Arial" w:cs="Arial"/>
          <w:color w:val="auto"/>
          <w:sz w:val="24"/>
          <w:szCs w:val="24"/>
          <w:lang w:val="es-CO"/>
        </w:rPr>
        <w:t>n el literal b) del numeral 2º (317-2º-b).</w:t>
      </w:r>
      <w:r w:rsidR="00F007FB" w:rsidRPr="008672BE">
        <w:rPr>
          <w:rFonts w:ascii="Arial" w:hAnsi="Arial" w:cs="Arial"/>
          <w:color w:val="auto"/>
          <w:sz w:val="24"/>
          <w:szCs w:val="24"/>
          <w:lang w:val="es-CO"/>
        </w:rPr>
        <w:t xml:space="preserve">  La primera posibilidad contempla el desistimiento tácito en su versión primigenia</w:t>
      </w:r>
      <w:r w:rsidR="001F3ABD" w:rsidRPr="008672BE">
        <w:rPr>
          <w:rFonts w:ascii="Arial" w:hAnsi="Arial" w:cs="Arial"/>
          <w:color w:val="auto"/>
          <w:sz w:val="24"/>
          <w:szCs w:val="24"/>
          <w:lang w:val="es-CO"/>
        </w:rPr>
        <w:t xml:space="preserve"> (Ley 1194), mientras que las otras corresponde</w:t>
      </w:r>
      <w:r w:rsidR="00547E8F">
        <w:rPr>
          <w:rFonts w:ascii="Arial" w:hAnsi="Arial" w:cs="Arial"/>
          <w:color w:val="auto"/>
          <w:sz w:val="24"/>
          <w:szCs w:val="24"/>
          <w:lang w:val="es-CO"/>
        </w:rPr>
        <w:t>n</w:t>
      </w:r>
      <w:r w:rsidR="001F3ABD" w:rsidRPr="008672BE">
        <w:rPr>
          <w:rFonts w:ascii="Arial" w:hAnsi="Arial" w:cs="Arial"/>
          <w:color w:val="auto"/>
          <w:sz w:val="24"/>
          <w:szCs w:val="24"/>
          <w:lang w:val="es-CO"/>
        </w:rPr>
        <w:t xml:space="preserve"> a la </w:t>
      </w:r>
      <w:r w:rsidR="006A259B">
        <w:rPr>
          <w:rFonts w:ascii="Arial" w:hAnsi="Arial" w:cs="Arial"/>
          <w:color w:val="auto"/>
          <w:sz w:val="24"/>
          <w:szCs w:val="24"/>
          <w:lang w:val="es-CO"/>
        </w:rPr>
        <w:t xml:space="preserve">antigua </w:t>
      </w:r>
      <w:r w:rsidR="001F3ABD" w:rsidRPr="008672BE">
        <w:rPr>
          <w:rFonts w:ascii="Arial" w:hAnsi="Arial" w:cs="Arial"/>
          <w:color w:val="auto"/>
          <w:sz w:val="24"/>
          <w:szCs w:val="24"/>
          <w:lang w:val="es-CO"/>
        </w:rPr>
        <w:t>perención</w:t>
      </w:r>
      <w:r w:rsidR="007E671D">
        <w:rPr>
          <w:rFonts w:ascii="Arial" w:hAnsi="Arial" w:cs="Arial"/>
          <w:color w:val="auto"/>
          <w:sz w:val="24"/>
          <w:szCs w:val="24"/>
          <w:lang w:val="es-CO"/>
        </w:rPr>
        <w:t xml:space="preserve">, </w:t>
      </w:r>
      <w:r w:rsidR="00F21F9E">
        <w:rPr>
          <w:rFonts w:ascii="Arial" w:hAnsi="Arial" w:cs="Arial"/>
          <w:color w:val="auto"/>
          <w:sz w:val="24"/>
          <w:szCs w:val="24"/>
          <w:lang w:val="es-CO"/>
        </w:rPr>
        <w:t xml:space="preserve">pero </w:t>
      </w:r>
      <w:r w:rsidR="006A259B">
        <w:rPr>
          <w:rFonts w:ascii="Arial" w:hAnsi="Arial" w:cs="Arial"/>
          <w:color w:val="auto"/>
          <w:sz w:val="24"/>
          <w:szCs w:val="24"/>
          <w:lang w:val="es-CO"/>
        </w:rPr>
        <w:t xml:space="preserve">ahora, </w:t>
      </w:r>
      <w:r w:rsidR="007E671D">
        <w:rPr>
          <w:rFonts w:ascii="Arial" w:hAnsi="Arial" w:cs="Arial"/>
          <w:color w:val="auto"/>
          <w:sz w:val="24"/>
          <w:szCs w:val="24"/>
          <w:lang w:val="es-CO"/>
        </w:rPr>
        <w:t>por virtud del legislador procesal</w:t>
      </w:r>
      <w:r w:rsidR="00132326">
        <w:rPr>
          <w:rFonts w:ascii="Arial" w:hAnsi="Arial" w:cs="Arial"/>
          <w:color w:val="auto"/>
          <w:sz w:val="24"/>
          <w:szCs w:val="24"/>
          <w:lang w:val="es-CO"/>
        </w:rPr>
        <w:t>,</w:t>
      </w:r>
      <w:r w:rsidR="007E671D">
        <w:rPr>
          <w:rFonts w:ascii="Arial" w:hAnsi="Arial" w:cs="Arial"/>
          <w:color w:val="auto"/>
          <w:sz w:val="24"/>
          <w:szCs w:val="24"/>
          <w:lang w:val="es-CO"/>
        </w:rPr>
        <w:t xml:space="preserve"> </w:t>
      </w:r>
      <w:r w:rsidR="006A259B">
        <w:rPr>
          <w:rFonts w:ascii="Arial" w:hAnsi="Arial" w:cs="Arial"/>
          <w:color w:val="auto"/>
          <w:sz w:val="24"/>
          <w:szCs w:val="24"/>
          <w:lang w:val="es-CO"/>
        </w:rPr>
        <w:t>quedan</w:t>
      </w:r>
      <w:r w:rsidR="009E3D85">
        <w:rPr>
          <w:rFonts w:ascii="Arial" w:hAnsi="Arial" w:cs="Arial"/>
          <w:color w:val="auto"/>
          <w:sz w:val="24"/>
          <w:szCs w:val="24"/>
          <w:lang w:val="es-CO"/>
        </w:rPr>
        <w:t xml:space="preserve"> </w:t>
      </w:r>
      <w:r w:rsidR="007E671D">
        <w:rPr>
          <w:rFonts w:ascii="Arial" w:hAnsi="Arial" w:cs="Arial"/>
          <w:color w:val="auto"/>
          <w:sz w:val="24"/>
          <w:szCs w:val="24"/>
          <w:lang w:val="es-CO"/>
        </w:rPr>
        <w:t xml:space="preserve">refundidas </w:t>
      </w:r>
      <w:r w:rsidR="00F21F9E">
        <w:rPr>
          <w:rFonts w:ascii="Arial" w:hAnsi="Arial" w:cs="Arial"/>
          <w:color w:val="auto"/>
          <w:sz w:val="24"/>
          <w:szCs w:val="24"/>
          <w:lang w:val="es-CO"/>
        </w:rPr>
        <w:t xml:space="preserve">todas </w:t>
      </w:r>
      <w:r w:rsidR="007E671D">
        <w:rPr>
          <w:rFonts w:ascii="Arial" w:hAnsi="Arial" w:cs="Arial"/>
          <w:color w:val="auto"/>
          <w:sz w:val="24"/>
          <w:szCs w:val="24"/>
          <w:lang w:val="es-CO"/>
        </w:rPr>
        <w:t>en el instituto del “desistimiento tácito”</w:t>
      </w:r>
      <w:r w:rsidR="003751DC">
        <w:rPr>
          <w:rFonts w:ascii="Arial" w:hAnsi="Arial" w:cs="Arial"/>
          <w:color w:val="auto"/>
          <w:sz w:val="24"/>
          <w:szCs w:val="24"/>
          <w:lang w:val="es-CO"/>
        </w:rPr>
        <w:t>; subyace entonces, que esa “integración” de las dos figuras</w:t>
      </w:r>
      <w:r w:rsidR="00BB3BAA">
        <w:rPr>
          <w:rFonts w:ascii="Arial" w:hAnsi="Arial" w:cs="Arial"/>
          <w:color w:val="auto"/>
          <w:sz w:val="24"/>
          <w:szCs w:val="24"/>
          <w:lang w:val="es-CO"/>
        </w:rPr>
        <w:t>,</w:t>
      </w:r>
      <w:r w:rsidR="003751DC">
        <w:rPr>
          <w:rFonts w:ascii="Arial" w:hAnsi="Arial" w:cs="Arial"/>
          <w:color w:val="auto"/>
          <w:sz w:val="24"/>
          <w:szCs w:val="24"/>
          <w:lang w:val="es-CO"/>
        </w:rPr>
        <w:t xml:space="preserve"> no </w:t>
      </w:r>
      <w:r w:rsidR="00BB3BAA">
        <w:rPr>
          <w:rFonts w:ascii="Arial" w:hAnsi="Arial" w:cs="Arial"/>
          <w:color w:val="auto"/>
          <w:sz w:val="24"/>
          <w:szCs w:val="24"/>
          <w:lang w:val="es-CO"/>
        </w:rPr>
        <w:t>es extraña</w:t>
      </w:r>
      <w:r w:rsidR="003751DC">
        <w:rPr>
          <w:rFonts w:ascii="Arial" w:hAnsi="Arial" w:cs="Arial"/>
          <w:color w:val="auto"/>
          <w:sz w:val="24"/>
          <w:szCs w:val="24"/>
          <w:lang w:val="es-CO"/>
        </w:rPr>
        <w:t>, atendidas las similitudes ya resaltadas.</w:t>
      </w:r>
    </w:p>
    <w:p w:rsidR="00FF7142" w:rsidRDefault="00FF7142" w:rsidP="00016D8D">
      <w:pPr>
        <w:spacing w:line="360" w:lineRule="auto"/>
        <w:jc w:val="both"/>
        <w:rPr>
          <w:rFonts w:ascii="Arial" w:hAnsi="Arial" w:cs="Arial"/>
          <w:lang w:val="es-CO"/>
        </w:rPr>
      </w:pPr>
    </w:p>
    <w:p w:rsidR="00CB01DF" w:rsidRDefault="00CB01DF" w:rsidP="00016D8D">
      <w:pPr>
        <w:spacing w:line="360" w:lineRule="auto"/>
        <w:jc w:val="both"/>
        <w:rPr>
          <w:rFonts w:ascii="Arial" w:hAnsi="Arial" w:cs="Arial"/>
        </w:rPr>
      </w:pPr>
      <w:r w:rsidRPr="00EE4308">
        <w:rPr>
          <w:rFonts w:ascii="Arial" w:hAnsi="Arial" w:cs="Arial"/>
        </w:rPr>
        <w:t xml:space="preserve">Por </w:t>
      </w:r>
      <w:r w:rsidR="003C06A1">
        <w:rPr>
          <w:rFonts w:ascii="Arial" w:hAnsi="Arial" w:cs="Arial"/>
        </w:rPr>
        <w:t xml:space="preserve">esos elementos comunes, también </w:t>
      </w:r>
      <w:r w:rsidRPr="00EE4308">
        <w:rPr>
          <w:rFonts w:ascii="Arial" w:hAnsi="Arial" w:cs="Arial"/>
        </w:rPr>
        <w:t xml:space="preserve">es razonable aplicar las </w:t>
      </w:r>
      <w:r w:rsidR="00CD4762">
        <w:rPr>
          <w:rFonts w:ascii="Arial" w:hAnsi="Arial" w:cs="Arial"/>
        </w:rPr>
        <w:t xml:space="preserve">legítimas </w:t>
      </w:r>
      <w:r w:rsidRPr="00EE4308">
        <w:rPr>
          <w:rFonts w:ascii="Arial" w:hAnsi="Arial" w:cs="Arial"/>
        </w:rPr>
        <w:t>finalidades adjudicadas a la figura en el pasado</w:t>
      </w:r>
      <w:r w:rsidR="000C4F5A">
        <w:rPr>
          <w:rFonts w:ascii="Arial" w:hAnsi="Arial" w:cs="Arial"/>
        </w:rPr>
        <w:t xml:space="preserve"> (Desistimiento tácito)</w:t>
      </w:r>
      <w:r w:rsidRPr="00EE4308">
        <w:rPr>
          <w:rFonts w:ascii="Arial" w:hAnsi="Arial" w:cs="Arial"/>
        </w:rPr>
        <w:t xml:space="preserve">, pues el análisis se hizo sobre supuestos semejantes; se explicaron en </w:t>
      </w:r>
      <w:r w:rsidR="00605C2C">
        <w:rPr>
          <w:rFonts w:ascii="Arial" w:hAnsi="Arial" w:cs="Arial"/>
        </w:rPr>
        <w:t xml:space="preserve">los </w:t>
      </w:r>
      <w:r w:rsidRPr="00EE4308">
        <w:rPr>
          <w:rFonts w:ascii="Arial" w:hAnsi="Arial" w:cs="Arial"/>
        </w:rPr>
        <w:t>términos siguientes: (i) Evita la paralización del aparato jurisdiccional; (ii)</w:t>
      </w:r>
      <w:r w:rsidRPr="00EE4308">
        <w:rPr>
          <w:rFonts w:ascii="Arial" w:hAnsi="Arial" w:cs="Arial"/>
          <w:b/>
        </w:rPr>
        <w:t xml:space="preserve"> </w:t>
      </w:r>
      <w:r w:rsidRPr="00EE4308">
        <w:rPr>
          <w:rFonts w:ascii="Arial" w:hAnsi="Arial" w:cs="Arial"/>
        </w:rPr>
        <w:t>Permite la efectividad de los derechos de quienes participan en la administración de justicia; y (iii) Promueve la certeza jurídica de quienes actúan como partes en los procesos, entre otros efectos constitucionalmente valiosos</w:t>
      </w:r>
      <w:r w:rsidRPr="00EE4308">
        <w:rPr>
          <w:rFonts w:ascii="Arial" w:hAnsi="Arial" w:cs="Arial"/>
          <w:vertAlign w:val="superscript"/>
        </w:rPr>
        <w:footnoteReference w:id="9"/>
      </w:r>
      <w:r w:rsidRPr="00EE4308">
        <w:rPr>
          <w:rFonts w:ascii="Arial" w:hAnsi="Arial" w:cs="Arial"/>
        </w:rPr>
        <w:t>, por eso las limitaciones de los derechos fundamentales que resultan de la regulación acusada, no son desproporcionadas.</w:t>
      </w:r>
    </w:p>
    <w:p w:rsidR="00CB4DA4" w:rsidRDefault="00CB4DA4" w:rsidP="00016D8D">
      <w:pPr>
        <w:spacing w:line="360" w:lineRule="auto"/>
        <w:jc w:val="both"/>
        <w:rPr>
          <w:rFonts w:ascii="Arial" w:hAnsi="Arial" w:cs="Arial"/>
          <w:lang w:val="es-CO"/>
        </w:rPr>
      </w:pPr>
    </w:p>
    <w:p w:rsidR="005B7372" w:rsidRDefault="00C50C55" w:rsidP="00016D8D">
      <w:pPr>
        <w:spacing w:line="360" w:lineRule="auto"/>
        <w:jc w:val="both"/>
        <w:rPr>
          <w:rFonts w:ascii="Arial" w:hAnsi="Arial" w:cs="Arial"/>
          <w:lang w:val="es-CO"/>
        </w:rPr>
      </w:pPr>
      <w:r w:rsidRPr="00C50C55">
        <w:rPr>
          <w:rFonts w:ascii="Arial" w:hAnsi="Arial" w:cs="Arial"/>
          <w:lang w:val="es-CO"/>
        </w:rPr>
        <w:t xml:space="preserve">A ninguna duda se remite que las últimas reformas </w:t>
      </w:r>
      <w:r w:rsidR="00A049B4">
        <w:rPr>
          <w:rFonts w:ascii="Arial" w:hAnsi="Arial" w:cs="Arial"/>
          <w:lang w:val="es-CO"/>
        </w:rPr>
        <w:t xml:space="preserve">procesales </w:t>
      </w:r>
      <w:r w:rsidRPr="00C50C55">
        <w:rPr>
          <w:rFonts w:ascii="Arial" w:hAnsi="Arial" w:cs="Arial"/>
          <w:lang w:val="es-CO"/>
        </w:rPr>
        <w:t xml:space="preserve">y en especial el </w:t>
      </w:r>
      <w:r w:rsidR="005B7372" w:rsidRPr="00C50C55">
        <w:rPr>
          <w:rFonts w:ascii="Arial" w:hAnsi="Arial" w:cs="Arial"/>
          <w:lang w:val="es-CO"/>
        </w:rPr>
        <w:t xml:space="preserve">CGP </w:t>
      </w:r>
      <w:r w:rsidRPr="00C50C55">
        <w:rPr>
          <w:rFonts w:ascii="Arial" w:hAnsi="Arial" w:cs="Arial"/>
          <w:lang w:val="es-CO"/>
        </w:rPr>
        <w:t xml:space="preserve">anhelan </w:t>
      </w:r>
      <w:r w:rsidR="00CC4AE3" w:rsidRPr="00C50C55">
        <w:rPr>
          <w:rFonts w:ascii="Arial" w:hAnsi="Arial" w:cs="Arial"/>
          <w:lang w:val="es-CO"/>
        </w:rPr>
        <w:t xml:space="preserve">que los litigios </w:t>
      </w:r>
      <w:r w:rsidRPr="00C50C55">
        <w:rPr>
          <w:rFonts w:ascii="Arial" w:hAnsi="Arial" w:cs="Arial"/>
          <w:lang w:val="es-CO"/>
        </w:rPr>
        <w:t>tengan un plazo razonable para su resolución</w:t>
      </w:r>
      <w:r w:rsidR="00CC4AE3">
        <w:rPr>
          <w:rFonts w:ascii="Arial" w:hAnsi="Arial" w:cs="Arial"/>
          <w:lang w:val="es-CO"/>
        </w:rPr>
        <w:t xml:space="preserve"> </w:t>
      </w:r>
      <w:r w:rsidR="00A03A5B">
        <w:rPr>
          <w:rFonts w:ascii="Arial" w:hAnsi="Arial" w:cs="Arial"/>
          <w:lang w:val="es-CO"/>
        </w:rPr>
        <w:t>(Art</w:t>
      </w:r>
      <w:r w:rsidR="00900D3C">
        <w:rPr>
          <w:rFonts w:ascii="Arial" w:hAnsi="Arial" w:cs="Arial"/>
          <w:lang w:val="es-CO"/>
        </w:rPr>
        <w:t>ículo 121</w:t>
      </w:r>
      <w:r w:rsidR="00865F4D">
        <w:rPr>
          <w:rFonts w:ascii="Arial" w:hAnsi="Arial" w:cs="Arial"/>
          <w:lang w:val="es-CO"/>
        </w:rPr>
        <w:t>) en el marco del principio de celeridad</w:t>
      </w:r>
      <w:r w:rsidR="00A049B4">
        <w:rPr>
          <w:rFonts w:ascii="Arial" w:hAnsi="Arial" w:cs="Arial"/>
          <w:lang w:val="es-CO"/>
        </w:rPr>
        <w:t>,</w:t>
      </w:r>
      <w:r w:rsidR="00865F4D">
        <w:rPr>
          <w:rFonts w:ascii="Arial" w:hAnsi="Arial" w:cs="Arial"/>
          <w:lang w:val="es-CO"/>
        </w:rPr>
        <w:t xml:space="preserve"> prescrito por el artículo 4º de la Ley Estatutaria de la Administraci</w:t>
      </w:r>
      <w:r w:rsidR="00A049B4">
        <w:rPr>
          <w:rFonts w:ascii="Arial" w:hAnsi="Arial" w:cs="Arial"/>
          <w:lang w:val="es-CO"/>
        </w:rPr>
        <w:t>ón de Justicia</w:t>
      </w:r>
      <w:r w:rsidR="00B567D6">
        <w:rPr>
          <w:rFonts w:ascii="Arial" w:hAnsi="Arial" w:cs="Arial"/>
          <w:lang w:val="es-CO"/>
        </w:rPr>
        <w:t xml:space="preserve">, al que </w:t>
      </w:r>
      <w:r w:rsidR="00573551">
        <w:rPr>
          <w:rFonts w:ascii="Arial" w:hAnsi="Arial" w:cs="Arial"/>
          <w:lang w:val="es-CO"/>
        </w:rPr>
        <w:t>debe</w:t>
      </w:r>
      <w:r w:rsidR="00B567D6">
        <w:rPr>
          <w:rFonts w:ascii="Arial" w:hAnsi="Arial" w:cs="Arial"/>
          <w:lang w:val="es-CO"/>
        </w:rPr>
        <w:t xml:space="preserve"> sumarse la teoría de la </w:t>
      </w:r>
      <w:r w:rsidR="001E2D69">
        <w:rPr>
          <w:rFonts w:ascii="Arial" w:hAnsi="Arial" w:cs="Arial"/>
          <w:lang w:val="es-CO"/>
        </w:rPr>
        <w:t xml:space="preserve">tutela </w:t>
      </w:r>
      <w:r w:rsidR="00B567D6">
        <w:rPr>
          <w:rFonts w:ascii="Arial" w:hAnsi="Arial" w:cs="Arial"/>
          <w:lang w:val="es-CO"/>
        </w:rPr>
        <w:t>judicial efectiva.</w:t>
      </w:r>
    </w:p>
    <w:p w:rsidR="00CF364A" w:rsidRDefault="00CF364A" w:rsidP="00016D8D">
      <w:pPr>
        <w:spacing w:line="360" w:lineRule="auto"/>
        <w:jc w:val="both"/>
        <w:rPr>
          <w:rFonts w:ascii="Arial" w:hAnsi="Arial" w:cs="Arial"/>
          <w:lang w:val="es-CO"/>
        </w:rPr>
      </w:pPr>
    </w:p>
    <w:p w:rsidR="00C0504F" w:rsidRDefault="00016D8D" w:rsidP="00016D8D">
      <w:pPr>
        <w:spacing w:line="360" w:lineRule="auto"/>
        <w:jc w:val="both"/>
        <w:rPr>
          <w:rFonts w:ascii="Arial" w:hAnsi="Arial" w:cs="Arial"/>
        </w:rPr>
      </w:pPr>
      <w:r w:rsidRPr="008672BE">
        <w:rPr>
          <w:rFonts w:ascii="Arial" w:hAnsi="Arial" w:cs="Arial"/>
          <w:lang w:val="es-CO"/>
        </w:rPr>
        <w:t xml:space="preserve">Ahora, muy importante en el </w:t>
      </w:r>
      <w:r w:rsidR="00127EDF">
        <w:rPr>
          <w:rFonts w:ascii="Arial" w:hAnsi="Arial" w:cs="Arial"/>
          <w:lang w:val="es-CO"/>
        </w:rPr>
        <w:t xml:space="preserve">condigno </w:t>
      </w:r>
      <w:r w:rsidRPr="008672BE">
        <w:rPr>
          <w:rFonts w:ascii="Arial" w:hAnsi="Arial" w:cs="Arial"/>
          <w:lang w:val="es-CO"/>
        </w:rPr>
        <w:t xml:space="preserve">ejercicio hermenéutico, es considerar que como </w:t>
      </w:r>
      <w:r w:rsidR="00957AE4">
        <w:rPr>
          <w:rFonts w:ascii="Arial" w:hAnsi="Arial" w:cs="Arial"/>
          <w:lang w:val="es-CO"/>
        </w:rPr>
        <w:t xml:space="preserve">se está en presencia </w:t>
      </w:r>
      <w:r w:rsidRPr="008672BE">
        <w:rPr>
          <w:rFonts w:ascii="Arial" w:hAnsi="Arial" w:cs="Arial"/>
          <w:lang w:val="es-CO"/>
        </w:rPr>
        <w:t>de</w:t>
      </w:r>
      <w:r w:rsidR="00055297" w:rsidRPr="008672BE">
        <w:rPr>
          <w:rFonts w:ascii="Arial" w:hAnsi="Arial" w:cs="Arial"/>
          <w:lang w:val="es-CO"/>
        </w:rPr>
        <w:t xml:space="preserve"> sanciones procesal</w:t>
      </w:r>
      <w:r w:rsidR="00127EDF">
        <w:rPr>
          <w:rFonts w:ascii="Arial" w:hAnsi="Arial" w:cs="Arial"/>
          <w:lang w:val="es-CO"/>
        </w:rPr>
        <w:t>es</w:t>
      </w:r>
      <w:r w:rsidR="00276A65" w:rsidRPr="008672BE">
        <w:rPr>
          <w:rFonts w:ascii="Arial" w:hAnsi="Arial" w:cs="Arial"/>
          <w:lang w:val="es-CO"/>
        </w:rPr>
        <w:t xml:space="preserve">, </w:t>
      </w:r>
      <w:r w:rsidR="00276A65" w:rsidRPr="00CB4DA4">
        <w:rPr>
          <w:rFonts w:ascii="Arial" w:hAnsi="Arial" w:cs="Arial"/>
          <w:u w:val="single"/>
          <w:lang w:val="es-CO"/>
        </w:rPr>
        <w:t>su aplicación ha de ser restringida</w:t>
      </w:r>
      <w:r w:rsidR="00276A65" w:rsidRPr="008672BE">
        <w:rPr>
          <w:rFonts w:ascii="Arial" w:hAnsi="Arial" w:cs="Arial"/>
          <w:lang w:val="es-CO"/>
        </w:rPr>
        <w:t xml:space="preserve">, tal como dispone de antaño el artículo </w:t>
      </w:r>
      <w:r w:rsidR="00C53DB5" w:rsidRPr="008672BE">
        <w:rPr>
          <w:rFonts w:ascii="Arial" w:hAnsi="Arial" w:cs="Arial"/>
        </w:rPr>
        <w:t xml:space="preserve">la Ley 153 de 1887, </w:t>
      </w:r>
      <w:r w:rsidR="00541DDA" w:rsidRPr="00541DDA">
        <w:rPr>
          <w:rFonts w:ascii="Arial" w:hAnsi="Arial" w:cs="Arial"/>
        </w:rPr>
        <w:t xml:space="preserve">con reconocimiento </w:t>
      </w:r>
      <w:r w:rsidR="009C2DE4">
        <w:rPr>
          <w:rFonts w:ascii="Arial" w:hAnsi="Arial" w:cs="Arial"/>
        </w:rPr>
        <w:t>de la justicia ordinaria</w:t>
      </w:r>
      <w:r w:rsidR="005D4324">
        <w:rPr>
          <w:rStyle w:val="Appelnotedebasdep"/>
          <w:rFonts w:ascii="Arial" w:hAnsi="Arial"/>
        </w:rPr>
        <w:footnoteReference w:id="10"/>
      </w:r>
      <w:r w:rsidR="009C2DE4">
        <w:rPr>
          <w:rFonts w:ascii="Arial" w:hAnsi="Arial" w:cs="Arial"/>
        </w:rPr>
        <w:t xml:space="preserve"> y la </w:t>
      </w:r>
      <w:r w:rsidR="00541DDA" w:rsidRPr="00541DDA">
        <w:rPr>
          <w:rFonts w:ascii="Arial" w:hAnsi="Arial" w:cs="Arial"/>
        </w:rPr>
        <w:t>constitucional del órgano de cierre</w:t>
      </w:r>
      <w:r w:rsidR="008B35B5">
        <w:rPr>
          <w:rStyle w:val="Appelnotedebasdep"/>
          <w:rFonts w:ascii="Arial" w:hAnsi="Arial"/>
        </w:rPr>
        <w:footnoteReference w:id="11"/>
      </w:r>
      <w:r w:rsidR="00541DDA" w:rsidRPr="00541DDA">
        <w:rPr>
          <w:rFonts w:ascii="Arial" w:hAnsi="Arial" w:cs="Arial"/>
        </w:rPr>
        <w:t>, as</w:t>
      </w:r>
      <w:r w:rsidR="007D011E">
        <w:rPr>
          <w:rFonts w:ascii="Arial" w:hAnsi="Arial" w:cs="Arial"/>
        </w:rPr>
        <w:t>í:</w:t>
      </w:r>
    </w:p>
    <w:p w:rsidR="00C0504F" w:rsidRDefault="00C0504F" w:rsidP="00C0504F">
      <w:pPr>
        <w:ind w:left="567"/>
        <w:jc w:val="both"/>
        <w:rPr>
          <w:rFonts w:ascii="Arial" w:hAnsi="Arial" w:cs="Arial"/>
          <w:color w:val="2D2D2D"/>
          <w:sz w:val="22"/>
          <w:szCs w:val="28"/>
          <w:shd w:val="clear" w:color="auto" w:fill="FFFFFF"/>
        </w:rPr>
      </w:pPr>
    </w:p>
    <w:p w:rsidR="00541DDA" w:rsidRPr="00C0504F" w:rsidRDefault="00541DDA" w:rsidP="00C0504F">
      <w:pPr>
        <w:ind w:left="567" w:right="567"/>
        <w:jc w:val="both"/>
        <w:rPr>
          <w:rFonts w:ascii="Arial" w:hAnsi="Arial" w:cs="Arial"/>
        </w:rPr>
      </w:pPr>
      <w:r w:rsidRPr="00C0504F">
        <w:rPr>
          <w:rFonts w:ascii="Arial" w:hAnsi="Arial" w:cs="Arial"/>
          <w:color w:val="2D2D2D"/>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C0504F">
        <w:rPr>
          <w:rFonts w:ascii="Arial" w:hAnsi="Arial" w:cs="Arial"/>
          <w:color w:val="2D2D2D"/>
          <w:szCs w:val="28"/>
          <w:u w:val="single"/>
          <w:shd w:val="clear" w:color="auto" w:fill="FFFFFF"/>
        </w:rPr>
        <w:t xml:space="preserve">las normas que imponen sanciones o que establecen límites a los derechos son de interpretación restrictiva. Las reglas que el </w:t>
      </w:r>
      <w:r w:rsidR="00134CDD" w:rsidRPr="00C0504F">
        <w:rPr>
          <w:rFonts w:ascii="Arial" w:hAnsi="Arial" w:cs="Arial"/>
          <w:color w:val="2D2D2D"/>
          <w:szCs w:val="28"/>
          <w:u w:val="single"/>
          <w:shd w:val="clear" w:color="auto" w:fill="FFFFFF"/>
        </w:rPr>
        <w:t>intérprete</w:t>
      </w:r>
      <w:r w:rsidRPr="00C0504F">
        <w:rPr>
          <w:rFonts w:ascii="Arial" w:hAnsi="Arial" w:cs="Arial"/>
          <w:color w:val="2D2D2D"/>
          <w:szCs w:val="28"/>
          <w:u w:val="single"/>
          <w:shd w:val="clear" w:color="auto" w:fill="FFFFFF"/>
        </w:rPr>
        <w:t xml:space="preserve"> pretenda derivar de una disposición jurídica, al margen de este principio hermenéutico, carecerán de todo valor jurídico</w:t>
      </w:r>
      <w:r w:rsidRPr="00C0504F">
        <w:rPr>
          <w:rFonts w:ascii="Arial" w:hAnsi="Arial" w:cs="Arial"/>
          <w:color w:val="2D2D2D"/>
          <w:szCs w:val="28"/>
          <w:shd w:val="clear" w:color="auto" w:fill="FFFFFF"/>
        </w:rPr>
        <w:t>.</w:t>
      </w:r>
      <w:r w:rsidR="00957AE4">
        <w:rPr>
          <w:rFonts w:ascii="Arial" w:hAnsi="Arial" w:cs="Arial"/>
          <w:color w:val="2D2D2D"/>
          <w:szCs w:val="28"/>
          <w:shd w:val="clear" w:color="auto" w:fill="FFFFFF"/>
        </w:rPr>
        <w:t xml:space="preserve">  </w:t>
      </w:r>
      <w:proofErr w:type="spellStart"/>
      <w:r w:rsidR="00957AE4">
        <w:rPr>
          <w:rFonts w:ascii="Arial" w:hAnsi="Arial" w:cs="Arial"/>
          <w:color w:val="2D2D2D"/>
          <w:szCs w:val="28"/>
          <w:shd w:val="clear" w:color="auto" w:fill="FFFFFF"/>
        </w:rPr>
        <w:t>Sublínea</w:t>
      </w:r>
      <w:proofErr w:type="spellEnd"/>
      <w:r w:rsidR="00957AE4">
        <w:rPr>
          <w:rFonts w:ascii="Arial" w:hAnsi="Arial" w:cs="Arial"/>
          <w:color w:val="2D2D2D"/>
          <w:szCs w:val="28"/>
          <w:shd w:val="clear" w:color="auto" w:fill="FFFFFF"/>
        </w:rPr>
        <w:t xml:space="preserve"> ajena al original.</w:t>
      </w:r>
    </w:p>
    <w:p w:rsidR="007F5EED" w:rsidRPr="00016D8D" w:rsidRDefault="007F5EED" w:rsidP="00016D8D">
      <w:pPr>
        <w:pStyle w:val="Sansinterligne"/>
        <w:spacing w:line="360" w:lineRule="auto"/>
        <w:jc w:val="both"/>
        <w:rPr>
          <w:rFonts w:ascii="Arial" w:hAnsi="Arial" w:cs="Arial"/>
          <w:sz w:val="24"/>
        </w:rPr>
      </w:pPr>
    </w:p>
    <w:p w:rsidR="00F62C29" w:rsidRDefault="00BF2DAE" w:rsidP="00F62C29">
      <w:pPr>
        <w:pStyle w:val="Sansinterligne"/>
        <w:spacing w:line="360" w:lineRule="auto"/>
        <w:jc w:val="both"/>
        <w:rPr>
          <w:rFonts w:ascii="Arial" w:hAnsi="Arial" w:cs="Arial"/>
          <w:sz w:val="24"/>
        </w:rPr>
      </w:pPr>
      <w:r>
        <w:rPr>
          <w:rFonts w:ascii="Arial" w:hAnsi="Arial" w:cs="Arial"/>
          <w:sz w:val="24"/>
        </w:rPr>
        <w:t xml:space="preserve">Sobre la vigencia del artículo glosado, vale anotar que quedó precisada por </w:t>
      </w:r>
      <w:r w:rsidR="004C79BF">
        <w:rPr>
          <w:rFonts w:ascii="Arial" w:hAnsi="Arial" w:cs="Arial"/>
          <w:sz w:val="24"/>
        </w:rPr>
        <w:t xml:space="preserve">los </w:t>
      </w:r>
      <w:r>
        <w:rPr>
          <w:rFonts w:ascii="Arial" w:hAnsi="Arial" w:cs="Arial"/>
          <w:sz w:val="24"/>
        </w:rPr>
        <w:t>artículo</w:t>
      </w:r>
      <w:r w:rsidR="004C79BF">
        <w:rPr>
          <w:rFonts w:ascii="Arial" w:hAnsi="Arial" w:cs="Arial"/>
          <w:sz w:val="24"/>
        </w:rPr>
        <w:t>s</w:t>
      </w:r>
      <w:r>
        <w:rPr>
          <w:rFonts w:ascii="Arial" w:hAnsi="Arial" w:cs="Arial"/>
          <w:sz w:val="24"/>
        </w:rPr>
        <w:t xml:space="preserve"> </w:t>
      </w:r>
      <w:r w:rsidR="004C79BF">
        <w:rPr>
          <w:rFonts w:ascii="Arial" w:hAnsi="Arial" w:cs="Arial"/>
          <w:sz w:val="24"/>
        </w:rPr>
        <w:t>625</w:t>
      </w:r>
      <w:r w:rsidR="005068D9">
        <w:rPr>
          <w:rFonts w:ascii="Arial" w:hAnsi="Arial" w:cs="Arial"/>
          <w:sz w:val="24"/>
        </w:rPr>
        <w:t xml:space="preserve">-7º </w:t>
      </w:r>
      <w:r w:rsidR="005068D9" w:rsidRPr="002B6F48">
        <w:rPr>
          <w:rFonts w:ascii="Arial" w:hAnsi="Arial" w:cs="Arial"/>
          <w:sz w:val="24"/>
          <w:lang w:val="es-CO"/>
        </w:rPr>
        <w:t>(Co</w:t>
      </w:r>
      <w:r w:rsidR="002B6F48">
        <w:rPr>
          <w:rFonts w:ascii="Arial" w:hAnsi="Arial" w:cs="Arial"/>
          <w:sz w:val="24"/>
          <w:lang w:val="es-CO"/>
        </w:rPr>
        <w:t xml:space="preserve">rregido por </w:t>
      </w:r>
      <w:r w:rsidR="005068D9" w:rsidRPr="002B6F48">
        <w:rPr>
          <w:rFonts w:ascii="Arial" w:hAnsi="Arial" w:cs="Arial"/>
          <w:sz w:val="24"/>
          <w:lang w:val="es-CO"/>
        </w:rPr>
        <w:t>el Decreto 1736 de 2012</w:t>
      </w:r>
      <w:r w:rsidR="002B6F48">
        <w:rPr>
          <w:rFonts w:ascii="Arial" w:hAnsi="Arial" w:cs="Arial"/>
          <w:sz w:val="24"/>
          <w:lang w:val="es-CO"/>
        </w:rPr>
        <w:t>, artículo 14</w:t>
      </w:r>
      <w:r w:rsidR="005068D9" w:rsidRPr="002B6F48">
        <w:rPr>
          <w:rFonts w:ascii="Arial" w:hAnsi="Arial" w:cs="Arial"/>
          <w:sz w:val="24"/>
          <w:lang w:val="es-CO"/>
        </w:rPr>
        <w:t>)</w:t>
      </w:r>
      <w:r w:rsidR="004C79BF">
        <w:rPr>
          <w:rFonts w:ascii="Arial" w:hAnsi="Arial" w:cs="Arial"/>
          <w:sz w:val="24"/>
        </w:rPr>
        <w:t xml:space="preserve"> y </w:t>
      </w:r>
      <w:r>
        <w:rPr>
          <w:rFonts w:ascii="Arial" w:hAnsi="Arial" w:cs="Arial"/>
          <w:sz w:val="24"/>
        </w:rPr>
        <w:t>62</w:t>
      </w:r>
      <w:r w:rsidR="00E711FC">
        <w:rPr>
          <w:rFonts w:ascii="Arial" w:hAnsi="Arial" w:cs="Arial"/>
          <w:sz w:val="24"/>
        </w:rPr>
        <w:t>7-4º</w:t>
      </w:r>
      <w:r>
        <w:rPr>
          <w:rFonts w:ascii="Arial" w:hAnsi="Arial" w:cs="Arial"/>
          <w:sz w:val="24"/>
        </w:rPr>
        <w:t xml:space="preserve"> del mismo CGP</w:t>
      </w:r>
      <w:r w:rsidR="00E711FC">
        <w:rPr>
          <w:rFonts w:ascii="Arial" w:hAnsi="Arial" w:cs="Arial"/>
          <w:sz w:val="24"/>
        </w:rPr>
        <w:t xml:space="preserve">, </w:t>
      </w:r>
      <w:r w:rsidR="00E711FC">
        <w:rPr>
          <w:rFonts w:ascii="Arial" w:hAnsi="Arial" w:cs="Arial"/>
          <w:sz w:val="24"/>
        </w:rPr>
        <w:lastRenderedPageBreak/>
        <w:t>cuyo término inició su cómputo desde el 01-10-2012</w:t>
      </w:r>
      <w:r w:rsidR="004C79BF">
        <w:rPr>
          <w:rFonts w:ascii="Arial" w:hAnsi="Arial" w:cs="Arial"/>
          <w:sz w:val="24"/>
        </w:rPr>
        <w:t>, para los procesos en curso</w:t>
      </w:r>
      <w:r w:rsidR="00DA3E8A">
        <w:rPr>
          <w:rFonts w:ascii="Arial" w:hAnsi="Arial" w:cs="Arial"/>
          <w:sz w:val="24"/>
        </w:rPr>
        <w:t>,</w:t>
      </w:r>
      <w:r w:rsidR="004C79BF">
        <w:rPr>
          <w:rFonts w:ascii="Arial" w:hAnsi="Arial" w:cs="Arial"/>
          <w:sz w:val="24"/>
        </w:rPr>
        <w:t xml:space="preserve"> a la entrada en vigencia del Estatuto nuevo.</w:t>
      </w:r>
    </w:p>
    <w:p w:rsidR="006E1A62" w:rsidRDefault="006E1A62" w:rsidP="00F62C29">
      <w:pPr>
        <w:pStyle w:val="Sansinterligne"/>
        <w:spacing w:line="360" w:lineRule="auto"/>
        <w:jc w:val="both"/>
        <w:rPr>
          <w:rFonts w:ascii="Arial" w:hAnsi="Arial" w:cs="Arial"/>
          <w:sz w:val="24"/>
        </w:rPr>
      </w:pPr>
    </w:p>
    <w:p w:rsidR="00EE171D" w:rsidRDefault="0058241A" w:rsidP="00F62C29">
      <w:pPr>
        <w:pStyle w:val="Sansinterligne"/>
        <w:spacing w:line="360" w:lineRule="auto"/>
        <w:jc w:val="both"/>
        <w:rPr>
          <w:rFonts w:ascii="Arial" w:hAnsi="Arial" w:cs="Arial"/>
          <w:sz w:val="24"/>
        </w:rPr>
      </w:pPr>
      <w:r>
        <w:rPr>
          <w:rFonts w:ascii="Arial" w:hAnsi="Arial" w:cs="Arial"/>
          <w:sz w:val="24"/>
        </w:rPr>
        <w:t xml:space="preserve">En forma expresa se estipula </w:t>
      </w:r>
      <w:r w:rsidR="00D746D2">
        <w:rPr>
          <w:rFonts w:ascii="Arial" w:hAnsi="Arial" w:cs="Arial"/>
          <w:sz w:val="24"/>
        </w:rPr>
        <w:t>en la</w:t>
      </w:r>
      <w:r w:rsidR="00CF364A">
        <w:rPr>
          <w:rFonts w:ascii="Arial" w:hAnsi="Arial" w:cs="Arial"/>
          <w:sz w:val="24"/>
        </w:rPr>
        <w:t>s</w:t>
      </w:r>
      <w:r w:rsidR="00D746D2">
        <w:rPr>
          <w:rFonts w:ascii="Arial" w:hAnsi="Arial" w:cs="Arial"/>
          <w:sz w:val="24"/>
        </w:rPr>
        <w:t xml:space="preserve"> </w:t>
      </w:r>
      <w:proofErr w:type="spellStart"/>
      <w:r w:rsidR="00D746D2">
        <w:rPr>
          <w:rFonts w:ascii="Arial" w:hAnsi="Arial" w:cs="Arial"/>
          <w:sz w:val="24"/>
        </w:rPr>
        <w:t>subreglas</w:t>
      </w:r>
      <w:proofErr w:type="spellEnd"/>
      <w:r w:rsidR="00D746D2">
        <w:rPr>
          <w:rFonts w:ascii="Arial" w:hAnsi="Arial" w:cs="Arial"/>
          <w:sz w:val="24"/>
        </w:rPr>
        <w:t xml:space="preserve"> </w:t>
      </w:r>
      <w:r w:rsidR="00C75494">
        <w:rPr>
          <w:rFonts w:ascii="Arial" w:hAnsi="Arial" w:cs="Arial"/>
          <w:sz w:val="24"/>
        </w:rPr>
        <w:t xml:space="preserve">para la aplicación </w:t>
      </w:r>
      <w:r w:rsidR="00D746D2">
        <w:rPr>
          <w:rFonts w:ascii="Arial" w:hAnsi="Arial" w:cs="Arial"/>
          <w:sz w:val="24"/>
        </w:rPr>
        <w:t>de esta forma de terminación anormal del proceso</w:t>
      </w:r>
      <w:r w:rsidR="00B809D1">
        <w:rPr>
          <w:rFonts w:ascii="Arial" w:hAnsi="Arial" w:cs="Arial"/>
          <w:sz w:val="24"/>
        </w:rPr>
        <w:t xml:space="preserve"> (Literales de la a) a la h), del artículo 317)</w:t>
      </w:r>
      <w:r w:rsidR="00D746D2">
        <w:rPr>
          <w:rFonts w:ascii="Arial" w:hAnsi="Arial" w:cs="Arial"/>
          <w:sz w:val="24"/>
        </w:rPr>
        <w:t xml:space="preserve">, </w:t>
      </w:r>
      <w:r w:rsidR="00EE171D">
        <w:rPr>
          <w:rFonts w:ascii="Arial" w:hAnsi="Arial" w:cs="Arial"/>
          <w:sz w:val="24"/>
        </w:rPr>
        <w:t xml:space="preserve">que cuando se trate de incapaces sin apoderado judicial, </w:t>
      </w:r>
      <w:r w:rsidR="00C75494">
        <w:rPr>
          <w:rFonts w:ascii="Arial" w:hAnsi="Arial" w:cs="Arial"/>
          <w:sz w:val="24"/>
        </w:rPr>
        <w:t>es improcedente</w:t>
      </w:r>
      <w:r w:rsidR="00D56827">
        <w:rPr>
          <w:rFonts w:ascii="Arial" w:hAnsi="Arial" w:cs="Arial"/>
          <w:sz w:val="24"/>
        </w:rPr>
        <w:t>;</w:t>
      </w:r>
      <w:r w:rsidR="004C202A">
        <w:rPr>
          <w:rFonts w:ascii="Arial" w:hAnsi="Arial" w:cs="Arial"/>
          <w:sz w:val="24"/>
        </w:rPr>
        <w:t xml:space="preserve"> y en parecer de este Despacho, debe</w:t>
      </w:r>
      <w:r w:rsidR="00D56827">
        <w:rPr>
          <w:rFonts w:ascii="Arial" w:hAnsi="Arial" w:cs="Arial"/>
          <w:sz w:val="24"/>
        </w:rPr>
        <w:t>n</w:t>
      </w:r>
      <w:r w:rsidR="004C202A">
        <w:rPr>
          <w:rFonts w:ascii="Arial" w:hAnsi="Arial" w:cs="Arial"/>
          <w:sz w:val="24"/>
        </w:rPr>
        <w:t xml:space="preserve"> </w:t>
      </w:r>
      <w:r w:rsidR="00D56827">
        <w:rPr>
          <w:rFonts w:ascii="Arial" w:hAnsi="Arial" w:cs="Arial"/>
          <w:sz w:val="24"/>
        </w:rPr>
        <w:t xml:space="preserve">añadirse </w:t>
      </w:r>
      <w:r w:rsidR="004C202A">
        <w:rPr>
          <w:rFonts w:ascii="Arial" w:hAnsi="Arial" w:cs="Arial"/>
          <w:sz w:val="24"/>
        </w:rPr>
        <w:t>aquellas situaciones de fuerza mayor, debidamente alegadas y prob</w:t>
      </w:r>
      <w:r w:rsidR="000C4F5A">
        <w:rPr>
          <w:rFonts w:ascii="Arial" w:hAnsi="Arial" w:cs="Arial"/>
          <w:sz w:val="24"/>
        </w:rPr>
        <w:t>adas, ante el operador judicial; según tesis ya prohijada</w:t>
      </w:r>
      <w:r w:rsidR="00263537">
        <w:rPr>
          <w:rFonts w:ascii="Arial" w:hAnsi="Arial" w:cs="Arial"/>
          <w:sz w:val="24"/>
        </w:rPr>
        <w:t xml:space="preserve"> por la </w:t>
      </w:r>
      <w:r w:rsidR="004C202A">
        <w:rPr>
          <w:rFonts w:ascii="Arial" w:hAnsi="Arial" w:cs="Arial"/>
          <w:sz w:val="24"/>
        </w:rPr>
        <w:t xml:space="preserve">CC, al revisar la </w:t>
      </w:r>
      <w:proofErr w:type="spellStart"/>
      <w:r w:rsidR="000C4F5A">
        <w:rPr>
          <w:rFonts w:ascii="Arial" w:hAnsi="Arial" w:cs="Arial"/>
          <w:sz w:val="24"/>
        </w:rPr>
        <w:t>prementada</w:t>
      </w:r>
      <w:proofErr w:type="spellEnd"/>
      <w:r w:rsidR="000C4F5A">
        <w:rPr>
          <w:rFonts w:ascii="Arial" w:hAnsi="Arial" w:cs="Arial"/>
          <w:sz w:val="24"/>
        </w:rPr>
        <w:t xml:space="preserve"> </w:t>
      </w:r>
      <w:r w:rsidR="004C202A">
        <w:rPr>
          <w:rFonts w:ascii="Arial" w:hAnsi="Arial" w:cs="Arial"/>
          <w:sz w:val="24"/>
        </w:rPr>
        <w:t>nor</w:t>
      </w:r>
      <w:r w:rsidR="003900A5">
        <w:rPr>
          <w:rFonts w:ascii="Arial" w:hAnsi="Arial" w:cs="Arial"/>
          <w:sz w:val="24"/>
        </w:rPr>
        <w:t xml:space="preserve">ma. Agregado </w:t>
      </w:r>
      <w:r w:rsidR="005068D9">
        <w:rPr>
          <w:rFonts w:ascii="Arial" w:hAnsi="Arial" w:cs="Arial"/>
          <w:sz w:val="24"/>
        </w:rPr>
        <w:t>válido,</w:t>
      </w:r>
      <w:r w:rsidR="000C4F5A">
        <w:rPr>
          <w:rFonts w:ascii="Arial" w:hAnsi="Arial" w:cs="Arial"/>
          <w:sz w:val="24"/>
        </w:rPr>
        <w:t xml:space="preserve"> </w:t>
      </w:r>
      <w:r w:rsidR="003900A5">
        <w:rPr>
          <w:rFonts w:ascii="Arial" w:hAnsi="Arial" w:cs="Arial"/>
          <w:sz w:val="24"/>
        </w:rPr>
        <w:t xml:space="preserve">en la medida en que </w:t>
      </w:r>
      <w:r w:rsidR="005068D9">
        <w:rPr>
          <w:rFonts w:ascii="Arial" w:hAnsi="Arial" w:cs="Arial"/>
          <w:sz w:val="24"/>
        </w:rPr>
        <w:t xml:space="preserve">son </w:t>
      </w:r>
      <w:r w:rsidR="003900A5">
        <w:rPr>
          <w:rFonts w:ascii="Arial" w:hAnsi="Arial" w:cs="Arial"/>
          <w:sz w:val="24"/>
        </w:rPr>
        <w:t>los mismos supuestos normativos.</w:t>
      </w:r>
    </w:p>
    <w:p w:rsidR="00EE171D" w:rsidRPr="00C84CCE" w:rsidRDefault="00EE171D" w:rsidP="00F62C29">
      <w:pPr>
        <w:pStyle w:val="Sansinterligne"/>
        <w:spacing w:line="360" w:lineRule="auto"/>
        <w:jc w:val="both"/>
        <w:rPr>
          <w:rFonts w:ascii="Arial" w:hAnsi="Arial" w:cs="Arial"/>
          <w:sz w:val="24"/>
          <w:lang w:val="es-CO"/>
        </w:rPr>
      </w:pPr>
    </w:p>
    <w:p w:rsidR="00F62C29" w:rsidRPr="00FD33D1" w:rsidRDefault="00CF364A" w:rsidP="00F62C29">
      <w:pPr>
        <w:pStyle w:val="Sansinterligne"/>
        <w:spacing w:line="360" w:lineRule="auto"/>
        <w:jc w:val="both"/>
        <w:rPr>
          <w:rFonts w:ascii="Arial" w:hAnsi="Arial" w:cs="Arial"/>
          <w:sz w:val="24"/>
        </w:rPr>
      </w:pPr>
      <w:r>
        <w:rPr>
          <w:rFonts w:ascii="Arial" w:hAnsi="Arial" w:cs="Arial"/>
          <w:sz w:val="24"/>
        </w:rPr>
        <w:t>El Alto Tribunal Constitucional</w:t>
      </w:r>
      <w:r w:rsidR="008C044A">
        <w:rPr>
          <w:rStyle w:val="Appelnotedebasdep"/>
          <w:rFonts w:ascii="Arial" w:hAnsi="Arial"/>
          <w:sz w:val="24"/>
        </w:rPr>
        <w:footnoteReference w:id="12"/>
      </w:r>
      <w:r w:rsidR="004C202A">
        <w:rPr>
          <w:rFonts w:ascii="Arial" w:hAnsi="Arial" w:cs="Arial"/>
          <w:sz w:val="24"/>
        </w:rPr>
        <w:t xml:space="preserve"> limitó</w:t>
      </w:r>
      <w:r w:rsidR="00F62C29" w:rsidRPr="000E1037">
        <w:rPr>
          <w:rFonts w:ascii="Arial" w:hAnsi="Arial" w:cs="Arial"/>
          <w:sz w:val="24"/>
        </w:rPr>
        <w:t xml:space="preserve"> </w:t>
      </w:r>
      <w:r w:rsidR="0041059C">
        <w:rPr>
          <w:rFonts w:ascii="Arial" w:hAnsi="Arial" w:cs="Arial"/>
          <w:sz w:val="24"/>
        </w:rPr>
        <w:t>la</w:t>
      </w:r>
      <w:r w:rsidR="004C202A">
        <w:rPr>
          <w:rFonts w:ascii="Arial" w:hAnsi="Arial" w:cs="Arial"/>
          <w:sz w:val="24"/>
        </w:rPr>
        <w:t xml:space="preserve"> aplicabilidad </w:t>
      </w:r>
      <w:r w:rsidR="00F62C29" w:rsidRPr="000E1037">
        <w:rPr>
          <w:rFonts w:ascii="Arial" w:hAnsi="Arial" w:cs="Arial"/>
          <w:sz w:val="24"/>
        </w:rPr>
        <w:t xml:space="preserve">en dos únicos eventos: (i) </w:t>
      </w:r>
      <w:r w:rsidR="008871B0" w:rsidRPr="000E1037">
        <w:rPr>
          <w:rFonts w:ascii="Arial" w:hAnsi="Arial" w:cs="Arial"/>
          <w:sz w:val="24"/>
        </w:rPr>
        <w:t xml:space="preserve">Cuando </w:t>
      </w:r>
      <w:r w:rsidR="00F62C29" w:rsidRPr="000E1037">
        <w:rPr>
          <w:rFonts w:ascii="Arial" w:hAnsi="Arial" w:cs="Arial"/>
          <w:sz w:val="24"/>
        </w:rPr>
        <w:t xml:space="preserve">se trata de </w:t>
      </w:r>
      <w:r w:rsidR="0041059C">
        <w:rPr>
          <w:rFonts w:ascii="Arial" w:hAnsi="Arial" w:cs="Arial"/>
          <w:sz w:val="24"/>
        </w:rPr>
        <w:t xml:space="preserve">personas </w:t>
      </w:r>
      <w:r w:rsidR="00F62C29" w:rsidRPr="000E1037">
        <w:rPr>
          <w:rFonts w:ascii="Arial" w:hAnsi="Arial" w:cs="Arial"/>
          <w:sz w:val="24"/>
        </w:rPr>
        <w:t>incapaces sin representación judicial</w:t>
      </w:r>
      <w:r w:rsidR="008871B0">
        <w:rPr>
          <w:rFonts w:ascii="Arial" w:hAnsi="Arial" w:cs="Arial"/>
          <w:sz w:val="24"/>
        </w:rPr>
        <w:t>;</w:t>
      </w:r>
      <w:r w:rsidR="00F62C29" w:rsidRPr="000E1037">
        <w:rPr>
          <w:rFonts w:ascii="Arial" w:hAnsi="Arial" w:cs="Arial"/>
          <w:sz w:val="24"/>
        </w:rPr>
        <w:t xml:space="preserve"> y</w:t>
      </w:r>
      <w:r w:rsidR="008871B0">
        <w:rPr>
          <w:rFonts w:ascii="Arial" w:hAnsi="Arial" w:cs="Arial"/>
          <w:sz w:val="24"/>
        </w:rPr>
        <w:t>,</w:t>
      </w:r>
      <w:r w:rsidR="00F62C29" w:rsidRPr="000E1037">
        <w:rPr>
          <w:rFonts w:ascii="Arial" w:hAnsi="Arial" w:cs="Arial"/>
          <w:sz w:val="24"/>
        </w:rPr>
        <w:t xml:space="preserve"> (ii) Cuando se prueb</w:t>
      </w:r>
      <w:r w:rsidR="00FD33D1">
        <w:rPr>
          <w:rFonts w:ascii="Arial" w:hAnsi="Arial" w:cs="Arial"/>
          <w:sz w:val="24"/>
        </w:rPr>
        <w:t>e la existencia de fuerza mayor;</w:t>
      </w:r>
      <w:r w:rsidR="00B31ABF">
        <w:rPr>
          <w:rFonts w:ascii="Arial" w:hAnsi="Arial" w:cs="Arial"/>
          <w:sz w:val="24"/>
        </w:rPr>
        <w:t xml:space="preserve"> la citada C</w:t>
      </w:r>
      <w:r w:rsidR="00F62C29" w:rsidRPr="000E1037">
        <w:rPr>
          <w:rFonts w:ascii="Arial" w:hAnsi="Arial" w:cs="Arial"/>
          <w:sz w:val="24"/>
        </w:rPr>
        <w:t xml:space="preserve">olegiatura </w:t>
      </w:r>
      <w:r w:rsidR="00B31ABF">
        <w:rPr>
          <w:rFonts w:ascii="Arial" w:hAnsi="Arial" w:cs="Arial"/>
          <w:sz w:val="24"/>
        </w:rPr>
        <w:t xml:space="preserve">aludió </w:t>
      </w:r>
      <w:r w:rsidR="00F62C29" w:rsidRPr="000E1037">
        <w:rPr>
          <w:rFonts w:ascii="Arial" w:hAnsi="Arial" w:cs="Arial"/>
          <w:sz w:val="24"/>
        </w:rPr>
        <w:t xml:space="preserve">que </w:t>
      </w:r>
      <w:r w:rsidR="00B31ABF">
        <w:rPr>
          <w:rFonts w:ascii="Arial" w:hAnsi="Arial" w:cs="Arial"/>
          <w:sz w:val="24"/>
        </w:rPr>
        <w:t xml:space="preserve">cuando </w:t>
      </w:r>
      <w:r w:rsidR="00F62C29" w:rsidRPr="000E1037">
        <w:rPr>
          <w:rFonts w:ascii="Arial" w:hAnsi="Arial" w:cs="Arial"/>
          <w:sz w:val="24"/>
        </w:rPr>
        <w:t>la parte se encuentre en imposibilidad de cumplir oportunamente con la carga procesal requerida por el Juez,</w:t>
      </w:r>
      <w:r w:rsidR="00B31ABF">
        <w:rPr>
          <w:rFonts w:ascii="Arial" w:hAnsi="Arial" w:cs="Arial"/>
          <w:sz w:val="24"/>
        </w:rPr>
        <w:t xml:space="preserve"> que se halle </w:t>
      </w:r>
      <w:r w:rsidR="00F62C29" w:rsidRPr="00074CDA">
        <w:rPr>
          <w:rFonts w:ascii="Arial" w:hAnsi="Arial" w:cs="Arial"/>
          <w:sz w:val="24"/>
        </w:rPr>
        <w:t>en situación de fuerza mayor,</w:t>
      </w:r>
      <w:r w:rsidR="00B31ABF">
        <w:rPr>
          <w:rFonts w:ascii="Arial" w:hAnsi="Arial" w:cs="Arial"/>
          <w:sz w:val="24"/>
        </w:rPr>
        <w:t xml:space="preserve"> como</w:t>
      </w:r>
      <w:r w:rsidR="00C97FBB">
        <w:rPr>
          <w:rFonts w:ascii="Arial" w:hAnsi="Arial" w:cs="Arial"/>
          <w:sz w:val="24"/>
        </w:rPr>
        <w:t xml:space="preserve"> por ejemplo</w:t>
      </w:r>
      <w:r w:rsidR="00F62C29" w:rsidRPr="000E1037">
        <w:rPr>
          <w:rFonts w:ascii="Arial" w:hAnsi="Arial" w:cs="Arial"/>
          <w:sz w:val="24"/>
        </w:rPr>
        <w:t>:</w:t>
      </w:r>
    </w:p>
    <w:p w:rsidR="008D46DD" w:rsidRDefault="008D46DD" w:rsidP="009D4ED3">
      <w:pPr>
        <w:pStyle w:val="Sansinterligne"/>
        <w:ind w:left="567" w:right="567"/>
        <w:jc w:val="both"/>
        <w:rPr>
          <w:rFonts w:ascii="Arial" w:hAnsi="Arial" w:cs="Arial"/>
          <w:sz w:val="24"/>
          <w:lang w:val="es-CO"/>
        </w:rPr>
      </w:pPr>
    </w:p>
    <w:p w:rsidR="009D4ED3" w:rsidRDefault="00F62C29" w:rsidP="009D4ED3">
      <w:pPr>
        <w:pStyle w:val="Sansinterligne"/>
        <w:ind w:left="567" w:right="567"/>
        <w:jc w:val="both"/>
        <w:rPr>
          <w:rFonts w:ascii="Arial" w:hAnsi="Arial" w:cs="Arial"/>
          <w:sz w:val="24"/>
          <w:lang w:val="es-CO"/>
        </w:rPr>
      </w:pPr>
      <w:r w:rsidRPr="00E43062">
        <w:rPr>
          <w:rFonts w:ascii="Arial" w:hAnsi="Arial" w:cs="Arial"/>
          <w:sz w:val="24"/>
          <w:lang w:val="es-CO"/>
        </w:rPr>
        <w:t xml:space="preserve">Así las cosas, aun cuando en una situación de conflicto armado irregular o de violencia localizada, ciertas personalidades o grupos poblacionales se encuentren en una situación de especial vulnerabilidad frente a conductas como </w:t>
      </w:r>
      <w:r w:rsidRPr="00E43062">
        <w:rPr>
          <w:rFonts w:ascii="Arial" w:hAnsi="Arial" w:cs="Arial"/>
          <w:sz w:val="24"/>
          <w:u w:val="single"/>
          <w:lang w:val="es-CO"/>
        </w:rPr>
        <w:t>el secuestro, la desaparición forzada, la toma de rehenes y el desplazamiento forzado,</w:t>
      </w:r>
      <w:r w:rsidRPr="00E43062">
        <w:rPr>
          <w:rFonts w:ascii="Arial" w:hAnsi="Arial" w:cs="Arial"/>
          <w:sz w:val="24"/>
          <w:lang w:val="es-CO"/>
        </w:rPr>
        <w:t xml:space="preserve"> no por eso dejan de estar sometidos a una fuerza que deviene irresistible e imprevisible. En esa medida, éstos serían claros ejemplos de personas sometidas a una fuerza mayor, tal como lo ha indicado la jurisprud</w:t>
      </w:r>
      <w:r w:rsidR="008C044A" w:rsidRPr="00E43062">
        <w:rPr>
          <w:rFonts w:ascii="Arial" w:hAnsi="Arial" w:cs="Arial"/>
          <w:sz w:val="24"/>
          <w:lang w:val="es-CO"/>
        </w:rPr>
        <w:t>encia de la Corte Constitucional.</w:t>
      </w:r>
    </w:p>
    <w:p w:rsidR="00E43062" w:rsidRDefault="00E43062" w:rsidP="009D4ED3">
      <w:pPr>
        <w:pStyle w:val="Sansinterligne"/>
        <w:ind w:left="567" w:right="567"/>
        <w:jc w:val="both"/>
        <w:rPr>
          <w:rFonts w:ascii="Arial" w:hAnsi="Arial" w:cs="Arial"/>
        </w:rPr>
      </w:pPr>
    </w:p>
    <w:p w:rsidR="0011637F" w:rsidRPr="009D4ED3" w:rsidRDefault="00F62C29" w:rsidP="009D4ED3">
      <w:pPr>
        <w:pStyle w:val="Sansinterligne"/>
        <w:ind w:left="567" w:right="567"/>
        <w:jc w:val="both"/>
        <w:rPr>
          <w:rFonts w:ascii="Arial" w:hAnsi="Arial" w:cs="Arial"/>
        </w:rPr>
      </w:pPr>
      <w:r w:rsidRPr="006B73DF">
        <w:rPr>
          <w:rFonts w:ascii="Arial" w:hAnsi="Arial" w:cs="Arial"/>
          <w:sz w:val="24"/>
        </w:rPr>
        <w:t>Por consiguiente, en los casos de fuerza mayor valorada por el juez, ni sería razonable interpretar que la persona ha desistido tácitamente de su pretensión o solicitud, ni sería ajustado a la realidad estimar que la persona ha cometido un comportamiento desleal o dilatorio de los términos a sabiendas, que merezca ser sancionado. Tampoco se le puede exigir que mientras está sometido a una fuerza que es irresistible e imprevisible, cumpla con una carga procesal que le es imposible realizar p</w:t>
      </w:r>
      <w:r w:rsidR="00641027">
        <w:rPr>
          <w:rFonts w:ascii="Arial" w:hAnsi="Arial" w:cs="Arial"/>
          <w:sz w:val="24"/>
        </w:rPr>
        <w:t>or razones ajenas a su voluntad</w:t>
      </w:r>
      <w:r w:rsidRPr="006B73DF">
        <w:rPr>
          <w:rFonts w:ascii="Arial" w:hAnsi="Arial" w:cs="Arial"/>
          <w:sz w:val="24"/>
        </w:rPr>
        <w:t>.</w:t>
      </w:r>
    </w:p>
    <w:p w:rsidR="00134CCE" w:rsidRDefault="00134CCE" w:rsidP="00812E9D">
      <w:pPr>
        <w:pStyle w:val="Sansinterligne"/>
        <w:spacing w:line="360" w:lineRule="auto"/>
        <w:jc w:val="both"/>
        <w:rPr>
          <w:rFonts w:ascii="Arial" w:hAnsi="Arial" w:cs="Arial"/>
          <w:sz w:val="24"/>
        </w:rPr>
      </w:pPr>
    </w:p>
    <w:p w:rsidR="00146328" w:rsidRPr="00146328" w:rsidRDefault="002E4EAD" w:rsidP="00146328">
      <w:pPr>
        <w:pStyle w:val="Sansinterligne"/>
        <w:spacing w:line="360" w:lineRule="auto"/>
        <w:jc w:val="both"/>
        <w:rPr>
          <w:rFonts w:ascii="Arial" w:hAnsi="Arial" w:cs="Arial"/>
          <w:sz w:val="24"/>
        </w:rPr>
      </w:pPr>
      <w:r>
        <w:rPr>
          <w:rFonts w:ascii="Arial" w:hAnsi="Arial" w:cs="Arial"/>
          <w:sz w:val="24"/>
        </w:rPr>
        <w:t>Finalmente, compete señalar que el desistimiento tácito del CGP fue demandado ante la CC</w:t>
      </w:r>
      <w:r w:rsidR="00C70999">
        <w:rPr>
          <w:rStyle w:val="Appelnotedebasdep"/>
          <w:rFonts w:ascii="Arial" w:hAnsi="Arial"/>
          <w:sz w:val="24"/>
        </w:rPr>
        <w:footnoteReference w:id="13"/>
      </w:r>
      <w:r>
        <w:rPr>
          <w:rFonts w:ascii="Arial" w:hAnsi="Arial" w:cs="Arial"/>
          <w:sz w:val="24"/>
        </w:rPr>
        <w:t>, pero la Magistratura se declaró inhibida</w:t>
      </w:r>
      <w:r w:rsidR="00A8082A">
        <w:rPr>
          <w:rFonts w:ascii="Arial" w:hAnsi="Arial" w:cs="Arial"/>
          <w:sz w:val="24"/>
        </w:rPr>
        <w:t xml:space="preserve"> para decidir</w:t>
      </w:r>
      <w:r>
        <w:rPr>
          <w:rFonts w:ascii="Arial" w:hAnsi="Arial" w:cs="Arial"/>
          <w:sz w:val="24"/>
        </w:rPr>
        <w:t>, por manera que los razonamientos allí vertidos</w:t>
      </w:r>
      <w:r w:rsidR="00413C6D">
        <w:rPr>
          <w:rFonts w:ascii="Arial" w:hAnsi="Arial" w:cs="Arial"/>
          <w:sz w:val="24"/>
        </w:rPr>
        <w:t xml:space="preserve"> sobre el tema propiamente</w:t>
      </w:r>
      <w:r>
        <w:rPr>
          <w:rFonts w:ascii="Arial" w:hAnsi="Arial" w:cs="Arial"/>
          <w:sz w:val="24"/>
        </w:rPr>
        <w:t xml:space="preserve">, </w:t>
      </w:r>
      <w:r w:rsidR="00413C6D">
        <w:rPr>
          <w:rFonts w:ascii="Arial" w:hAnsi="Arial" w:cs="Arial"/>
          <w:sz w:val="24"/>
        </w:rPr>
        <w:t xml:space="preserve">son ajenos al examen constitucional porque no fundaron la resolución adoptada, por ende </w:t>
      </w:r>
      <w:r>
        <w:rPr>
          <w:rFonts w:ascii="Arial" w:hAnsi="Arial" w:cs="Arial"/>
          <w:sz w:val="24"/>
        </w:rPr>
        <w:t xml:space="preserve">tienen valor de </w:t>
      </w:r>
      <w:proofErr w:type="spellStart"/>
      <w:r w:rsidRPr="002E4EAD">
        <w:rPr>
          <w:rFonts w:ascii="Arial" w:hAnsi="Arial" w:cs="Arial"/>
          <w:i/>
          <w:sz w:val="24"/>
        </w:rPr>
        <w:t>obiter</w:t>
      </w:r>
      <w:proofErr w:type="spellEnd"/>
      <w:r w:rsidRPr="002E4EAD">
        <w:rPr>
          <w:rFonts w:ascii="Arial" w:hAnsi="Arial" w:cs="Arial"/>
          <w:i/>
          <w:sz w:val="24"/>
        </w:rPr>
        <w:t xml:space="preserve"> dicta</w:t>
      </w:r>
      <w:r w:rsidR="004F5B38" w:rsidRPr="00134CDD">
        <w:rPr>
          <w:rStyle w:val="Appelnotedebasdep"/>
          <w:rFonts w:ascii="Arial" w:hAnsi="Arial"/>
          <w:sz w:val="24"/>
        </w:rPr>
        <w:footnoteReference w:id="14"/>
      </w:r>
      <w:r>
        <w:rPr>
          <w:rFonts w:ascii="Arial" w:hAnsi="Arial" w:cs="Arial"/>
          <w:sz w:val="24"/>
        </w:rPr>
        <w:t xml:space="preserve">, </w:t>
      </w:r>
      <w:r w:rsidR="009D6031">
        <w:rPr>
          <w:rFonts w:ascii="Arial" w:hAnsi="Arial" w:cs="Arial"/>
          <w:sz w:val="24"/>
        </w:rPr>
        <w:t xml:space="preserve">es decir, </w:t>
      </w:r>
      <w:r w:rsidR="009D6031" w:rsidRPr="00413C6D">
        <w:rPr>
          <w:rFonts w:ascii="Arial" w:hAnsi="Arial" w:cs="Arial"/>
          <w:sz w:val="24"/>
          <w:u w:val="single"/>
        </w:rPr>
        <w:t>carecen de fuerza vinculante para la comunidad jur</w:t>
      </w:r>
      <w:r w:rsidR="001956AA" w:rsidRPr="00413C6D">
        <w:rPr>
          <w:rFonts w:ascii="Arial" w:hAnsi="Arial" w:cs="Arial"/>
          <w:sz w:val="24"/>
          <w:u w:val="single"/>
        </w:rPr>
        <w:t>ídica</w:t>
      </w:r>
      <w:r w:rsidR="001956AA">
        <w:rPr>
          <w:rFonts w:ascii="Arial" w:hAnsi="Arial" w:cs="Arial"/>
          <w:sz w:val="24"/>
        </w:rPr>
        <w:t>, tienen apenas valor persuasivo</w:t>
      </w:r>
      <w:r w:rsidR="00A507A2">
        <w:rPr>
          <w:rFonts w:ascii="Arial" w:hAnsi="Arial" w:cs="Arial"/>
          <w:sz w:val="24"/>
        </w:rPr>
        <w:t xml:space="preserve">. </w:t>
      </w:r>
      <w:r w:rsidR="00146328">
        <w:rPr>
          <w:rFonts w:ascii="Arial" w:hAnsi="Arial" w:cs="Arial"/>
          <w:sz w:val="24"/>
        </w:rPr>
        <w:t>Válido mencionar que en reciente (2016)</w:t>
      </w:r>
      <w:r w:rsidR="00146328">
        <w:rPr>
          <w:rStyle w:val="Appelnotedebasdep"/>
          <w:rFonts w:ascii="Arial" w:hAnsi="Arial"/>
          <w:sz w:val="24"/>
        </w:rPr>
        <w:footnoteReference w:id="15"/>
      </w:r>
      <w:r w:rsidR="00146328">
        <w:rPr>
          <w:rFonts w:ascii="Arial" w:hAnsi="Arial" w:cs="Arial"/>
          <w:sz w:val="24"/>
        </w:rPr>
        <w:t xml:space="preserve"> decisión esa </w:t>
      </w:r>
      <w:r w:rsidR="00146328">
        <w:rPr>
          <w:rFonts w:ascii="Arial" w:hAnsi="Arial" w:cs="Arial"/>
          <w:sz w:val="24"/>
        </w:rPr>
        <w:lastRenderedPageBreak/>
        <w:t xml:space="preserve">misma Corporación, se declara nuevamente inhibida para decidir de fondo, sobre la expresión </w:t>
      </w:r>
      <w:r w:rsidR="00146328" w:rsidRPr="00146328">
        <w:rPr>
          <w:rFonts w:ascii="Arial" w:hAnsi="Arial" w:cs="Arial"/>
          <w:i/>
        </w:rPr>
        <w:t>“o perjuicios”</w:t>
      </w:r>
      <w:r w:rsidR="00146328">
        <w:rPr>
          <w:rFonts w:ascii="Arial" w:hAnsi="Arial" w:cs="Arial"/>
          <w:i/>
          <w:sz w:val="24"/>
        </w:rPr>
        <w:t xml:space="preserve"> </w:t>
      </w:r>
      <w:r w:rsidR="00146328">
        <w:rPr>
          <w:rFonts w:ascii="Arial" w:hAnsi="Arial" w:cs="Arial"/>
          <w:sz w:val="24"/>
        </w:rPr>
        <w:t>contenida en el artículo 317 del CGP.</w:t>
      </w:r>
    </w:p>
    <w:p w:rsidR="00146328" w:rsidRDefault="00146328" w:rsidP="00812E9D">
      <w:pPr>
        <w:pStyle w:val="Sansinterligne"/>
        <w:spacing w:line="360" w:lineRule="auto"/>
        <w:jc w:val="both"/>
        <w:rPr>
          <w:rFonts w:ascii="Arial" w:hAnsi="Arial" w:cs="Arial"/>
          <w:sz w:val="24"/>
        </w:rPr>
      </w:pPr>
    </w:p>
    <w:p w:rsidR="00A411A0" w:rsidRDefault="00A507A2" w:rsidP="00812E9D">
      <w:pPr>
        <w:pStyle w:val="Sansinterligne"/>
        <w:spacing w:line="360" w:lineRule="auto"/>
        <w:jc w:val="both"/>
        <w:rPr>
          <w:rFonts w:ascii="Arial" w:hAnsi="Arial" w:cs="Arial"/>
          <w:sz w:val="24"/>
        </w:rPr>
      </w:pPr>
      <w:r>
        <w:rPr>
          <w:rFonts w:ascii="Arial" w:hAnsi="Arial" w:cs="Arial"/>
          <w:sz w:val="24"/>
        </w:rPr>
        <w:t>Pertinentes y oportunas</w:t>
      </w:r>
      <w:r w:rsidR="007C0AF0">
        <w:rPr>
          <w:rFonts w:ascii="Arial" w:hAnsi="Arial" w:cs="Arial"/>
          <w:sz w:val="24"/>
        </w:rPr>
        <w:t xml:space="preserve"> para ilustrar sobre el derecho judicial</w:t>
      </w:r>
      <w:r>
        <w:rPr>
          <w:rFonts w:ascii="Arial" w:hAnsi="Arial" w:cs="Arial"/>
          <w:sz w:val="24"/>
        </w:rPr>
        <w:t>, las palabras del profesor Rod</w:t>
      </w:r>
      <w:r w:rsidR="009B04AF">
        <w:rPr>
          <w:rFonts w:ascii="Arial" w:hAnsi="Arial" w:cs="Arial"/>
          <w:sz w:val="24"/>
        </w:rPr>
        <w:t xml:space="preserve">rigo </w:t>
      </w:r>
      <w:proofErr w:type="spellStart"/>
      <w:r w:rsidR="009B04AF">
        <w:rPr>
          <w:rFonts w:ascii="Arial" w:hAnsi="Arial" w:cs="Arial"/>
          <w:sz w:val="24"/>
        </w:rPr>
        <w:t>Uprimy</w:t>
      </w:r>
      <w:proofErr w:type="spellEnd"/>
      <w:r w:rsidR="00A57A2E">
        <w:rPr>
          <w:rStyle w:val="Appelnotedebasdep"/>
          <w:rFonts w:ascii="Arial" w:hAnsi="Arial"/>
          <w:sz w:val="24"/>
        </w:rPr>
        <w:footnoteReference w:id="16"/>
      </w:r>
      <w:r>
        <w:rPr>
          <w:rFonts w:ascii="Arial" w:hAnsi="Arial" w:cs="Arial"/>
          <w:sz w:val="24"/>
        </w:rPr>
        <w:t>:</w:t>
      </w:r>
    </w:p>
    <w:p w:rsidR="00A507A2" w:rsidRDefault="00A507A2" w:rsidP="00A507A2">
      <w:pPr>
        <w:pStyle w:val="Sansinterligne"/>
        <w:spacing w:line="360" w:lineRule="auto"/>
        <w:ind w:left="567"/>
        <w:jc w:val="both"/>
        <w:rPr>
          <w:rFonts w:ascii="Arial" w:hAnsi="Arial" w:cs="Arial"/>
          <w:sz w:val="24"/>
        </w:rPr>
      </w:pPr>
    </w:p>
    <w:p w:rsidR="0098715D" w:rsidRDefault="00A507A2" w:rsidP="00A507A2">
      <w:pPr>
        <w:pStyle w:val="Sansinterligne"/>
        <w:ind w:left="567" w:right="567"/>
        <w:jc w:val="both"/>
        <w:rPr>
          <w:rFonts w:ascii="Arial" w:hAnsi="Arial" w:cs="Arial"/>
          <w:sz w:val="24"/>
        </w:rPr>
      </w:pPr>
      <w:r w:rsidRPr="00A507A2">
        <w:rPr>
          <w:rFonts w:ascii="Arial" w:hAnsi="Arial" w:cs="Arial"/>
          <w:sz w:val="24"/>
        </w:rPr>
        <w:t>Ahora bien, en la teoría del precedente judicial, solo la ratio decidendi goza de alguna fuerza vinculante, mientras que</w:t>
      </w:r>
      <w:r>
        <w:rPr>
          <w:rFonts w:ascii="Arial" w:hAnsi="Arial" w:cs="Arial"/>
          <w:sz w:val="24"/>
        </w:rPr>
        <w:t xml:space="preserve"> </w:t>
      </w:r>
      <w:r w:rsidRPr="00A507A2">
        <w:rPr>
          <w:rFonts w:ascii="Arial" w:hAnsi="Arial" w:cs="Arial"/>
          <w:sz w:val="24"/>
        </w:rPr>
        <w:t>los</w:t>
      </w:r>
      <w:r>
        <w:rPr>
          <w:rFonts w:ascii="Arial" w:hAnsi="Arial" w:cs="Arial"/>
          <w:sz w:val="24"/>
        </w:rPr>
        <w:t xml:space="preserve"> </w:t>
      </w:r>
      <w:proofErr w:type="spellStart"/>
      <w:r w:rsidRPr="00A507A2">
        <w:rPr>
          <w:rFonts w:ascii="Arial" w:hAnsi="Arial" w:cs="Arial"/>
          <w:sz w:val="24"/>
        </w:rPr>
        <w:t>obiter</w:t>
      </w:r>
      <w:proofErr w:type="spellEnd"/>
      <w:r w:rsidRPr="00A507A2">
        <w:rPr>
          <w:rFonts w:ascii="Arial" w:hAnsi="Arial" w:cs="Arial"/>
          <w:sz w:val="24"/>
        </w:rPr>
        <w:t xml:space="preserve"> dicta tienen</w:t>
      </w:r>
      <w:r>
        <w:rPr>
          <w:rFonts w:ascii="Arial" w:hAnsi="Arial" w:cs="Arial"/>
          <w:sz w:val="24"/>
        </w:rPr>
        <w:t xml:space="preserve"> </w:t>
      </w:r>
      <w:r w:rsidRPr="00A507A2">
        <w:rPr>
          <w:rFonts w:ascii="Arial" w:hAnsi="Arial" w:cs="Arial"/>
          <w:sz w:val="24"/>
        </w:rPr>
        <w:t>una</w:t>
      </w:r>
      <w:r>
        <w:rPr>
          <w:rFonts w:ascii="Arial" w:hAnsi="Arial" w:cs="Arial"/>
          <w:sz w:val="24"/>
        </w:rPr>
        <w:t xml:space="preserve"> </w:t>
      </w:r>
      <w:r w:rsidRPr="00A507A2">
        <w:rPr>
          <w:rFonts w:ascii="Arial" w:hAnsi="Arial" w:cs="Arial"/>
          <w:sz w:val="24"/>
        </w:rPr>
        <w:t>fuerza</w:t>
      </w:r>
      <w:r>
        <w:rPr>
          <w:rFonts w:ascii="Arial" w:hAnsi="Arial" w:cs="Arial"/>
          <w:sz w:val="24"/>
        </w:rPr>
        <w:t xml:space="preserve"> </w:t>
      </w:r>
      <w:r w:rsidRPr="00A507A2">
        <w:rPr>
          <w:rFonts w:ascii="Arial" w:hAnsi="Arial" w:cs="Arial"/>
          <w:sz w:val="24"/>
        </w:rPr>
        <w:t>meramente persuasiva.</w:t>
      </w:r>
      <w:r>
        <w:rPr>
          <w:rFonts w:ascii="Arial" w:hAnsi="Arial" w:cs="Arial"/>
          <w:sz w:val="24"/>
        </w:rPr>
        <w:t xml:space="preserve"> </w:t>
      </w:r>
      <w:r w:rsidRPr="00A507A2">
        <w:rPr>
          <w:rFonts w:ascii="Arial" w:hAnsi="Arial" w:cs="Arial"/>
          <w:sz w:val="24"/>
        </w:rPr>
        <w:t>Tres</w:t>
      </w:r>
      <w:r>
        <w:rPr>
          <w:rFonts w:ascii="Arial" w:hAnsi="Arial" w:cs="Arial"/>
          <w:sz w:val="24"/>
        </w:rPr>
        <w:t xml:space="preserve"> </w:t>
      </w:r>
      <w:r w:rsidRPr="00A507A2">
        <w:rPr>
          <w:rFonts w:ascii="Arial" w:hAnsi="Arial" w:cs="Arial"/>
          <w:sz w:val="24"/>
        </w:rPr>
        <w:t>razones</w:t>
      </w:r>
      <w:r>
        <w:rPr>
          <w:rFonts w:ascii="Arial" w:hAnsi="Arial" w:cs="Arial"/>
          <w:sz w:val="24"/>
        </w:rPr>
        <w:t xml:space="preserve"> </w:t>
      </w:r>
      <w:r w:rsidRPr="00A507A2">
        <w:rPr>
          <w:rFonts w:ascii="Arial" w:hAnsi="Arial" w:cs="Arial"/>
          <w:sz w:val="24"/>
        </w:rPr>
        <w:t>teóricas y prácticas justifican esa distinción: i) el respeto a la igualdad, ii) los límites a la legitimidad de la creación</w:t>
      </w:r>
      <w:r>
        <w:rPr>
          <w:rFonts w:ascii="Arial" w:hAnsi="Arial" w:cs="Arial"/>
          <w:sz w:val="24"/>
        </w:rPr>
        <w:t xml:space="preserve"> </w:t>
      </w:r>
      <w:r w:rsidRPr="00A507A2">
        <w:rPr>
          <w:rFonts w:ascii="Arial" w:hAnsi="Arial" w:cs="Arial"/>
          <w:sz w:val="24"/>
        </w:rPr>
        <w:t>judicial</w:t>
      </w:r>
      <w:r>
        <w:rPr>
          <w:rFonts w:ascii="Arial" w:hAnsi="Arial" w:cs="Arial"/>
          <w:sz w:val="24"/>
        </w:rPr>
        <w:t xml:space="preserve"> </w:t>
      </w:r>
      <w:r w:rsidRPr="00A507A2">
        <w:rPr>
          <w:rFonts w:ascii="Arial" w:hAnsi="Arial" w:cs="Arial"/>
          <w:sz w:val="24"/>
        </w:rPr>
        <w:t>de</w:t>
      </w:r>
      <w:r>
        <w:rPr>
          <w:rFonts w:ascii="Arial" w:hAnsi="Arial" w:cs="Arial"/>
          <w:sz w:val="24"/>
        </w:rPr>
        <w:t xml:space="preserve"> </w:t>
      </w:r>
      <w:r w:rsidRPr="00A507A2">
        <w:rPr>
          <w:rFonts w:ascii="Arial" w:hAnsi="Arial" w:cs="Arial"/>
          <w:sz w:val="24"/>
        </w:rPr>
        <w:t>derecho</w:t>
      </w:r>
      <w:r>
        <w:rPr>
          <w:rFonts w:ascii="Arial" w:hAnsi="Arial" w:cs="Arial"/>
          <w:sz w:val="24"/>
        </w:rPr>
        <w:t xml:space="preserve"> </w:t>
      </w:r>
      <w:r w:rsidRPr="00A507A2">
        <w:rPr>
          <w:rFonts w:ascii="Arial" w:hAnsi="Arial" w:cs="Arial"/>
          <w:sz w:val="24"/>
        </w:rPr>
        <w:t>y</w:t>
      </w:r>
      <w:r>
        <w:rPr>
          <w:rFonts w:ascii="Arial" w:hAnsi="Arial" w:cs="Arial"/>
          <w:sz w:val="24"/>
        </w:rPr>
        <w:t xml:space="preserve"> </w:t>
      </w:r>
      <w:r w:rsidRPr="00A507A2">
        <w:rPr>
          <w:rFonts w:ascii="Arial" w:hAnsi="Arial" w:cs="Arial"/>
          <w:sz w:val="24"/>
        </w:rPr>
        <w:t>iii)</w:t>
      </w:r>
      <w:r>
        <w:rPr>
          <w:rFonts w:ascii="Arial" w:hAnsi="Arial" w:cs="Arial"/>
          <w:sz w:val="24"/>
        </w:rPr>
        <w:t xml:space="preserve"> </w:t>
      </w:r>
      <w:r w:rsidRPr="00A507A2">
        <w:rPr>
          <w:rFonts w:ascii="Arial" w:hAnsi="Arial" w:cs="Arial"/>
          <w:sz w:val="24"/>
        </w:rPr>
        <w:t>la</w:t>
      </w:r>
      <w:r>
        <w:rPr>
          <w:rFonts w:ascii="Arial" w:hAnsi="Arial" w:cs="Arial"/>
          <w:sz w:val="24"/>
        </w:rPr>
        <w:t xml:space="preserve"> </w:t>
      </w:r>
      <w:r w:rsidRPr="00A507A2">
        <w:rPr>
          <w:rFonts w:ascii="Arial" w:hAnsi="Arial" w:cs="Arial"/>
          <w:sz w:val="24"/>
        </w:rPr>
        <w:t>prudencia</w:t>
      </w:r>
      <w:r>
        <w:rPr>
          <w:rFonts w:ascii="Arial" w:hAnsi="Arial" w:cs="Arial"/>
          <w:sz w:val="24"/>
        </w:rPr>
        <w:t xml:space="preserve"> </w:t>
      </w:r>
      <w:r w:rsidRPr="00A507A2">
        <w:rPr>
          <w:rFonts w:ascii="Arial" w:hAnsi="Arial" w:cs="Arial"/>
          <w:sz w:val="24"/>
        </w:rPr>
        <w:t>en</w:t>
      </w:r>
      <w:r>
        <w:rPr>
          <w:rFonts w:ascii="Arial" w:hAnsi="Arial" w:cs="Arial"/>
          <w:sz w:val="24"/>
        </w:rPr>
        <w:t xml:space="preserve"> </w:t>
      </w:r>
      <w:r w:rsidRPr="00A507A2">
        <w:rPr>
          <w:rFonts w:ascii="Arial" w:hAnsi="Arial" w:cs="Arial"/>
          <w:sz w:val="24"/>
        </w:rPr>
        <w:t>la</w:t>
      </w:r>
      <w:r>
        <w:rPr>
          <w:rFonts w:ascii="Arial" w:hAnsi="Arial" w:cs="Arial"/>
          <w:sz w:val="24"/>
        </w:rPr>
        <w:t xml:space="preserve"> </w:t>
      </w:r>
      <w:r w:rsidRPr="00A507A2">
        <w:rPr>
          <w:rFonts w:ascii="Arial" w:hAnsi="Arial" w:cs="Arial"/>
          <w:sz w:val="24"/>
        </w:rPr>
        <w:t>construcción</w:t>
      </w:r>
      <w:r>
        <w:rPr>
          <w:rFonts w:ascii="Arial" w:hAnsi="Arial" w:cs="Arial"/>
          <w:sz w:val="24"/>
        </w:rPr>
        <w:t xml:space="preserve"> </w:t>
      </w:r>
      <w:r w:rsidRPr="00A507A2">
        <w:rPr>
          <w:rFonts w:ascii="Arial" w:hAnsi="Arial" w:cs="Arial"/>
          <w:sz w:val="24"/>
        </w:rPr>
        <w:t>inductiva</w:t>
      </w:r>
      <w:r>
        <w:rPr>
          <w:rFonts w:ascii="Arial" w:hAnsi="Arial" w:cs="Arial"/>
          <w:sz w:val="24"/>
        </w:rPr>
        <w:t xml:space="preserve"> </w:t>
      </w:r>
      <w:r w:rsidRPr="00A507A2">
        <w:rPr>
          <w:rFonts w:ascii="Arial" w:hAnsi="Arial" w:cs="Arial"/>
          <w:sz w:val="24"/>
        </w:rPr>
        <w:t>de</w:t>
      </w:r>
      <w:r>
        <w:rPr>
          <w:rFonts w:ascii="Arial" w:hAnsi="Arial" w:cs="Arial"/>
          <w:sz w:val="24"/>
        </w:rPr>
        <w:t xml:space="preserve"> </w:t>
      </w:r>
      <w:r w:rsidRPr="00A507A2">
        <w:rPr>
          <w:rFonts w:ascii="Arial" w:hAnsi="Arial" w:cs="Arial"/>
          <w:sz w:val="24"/>
        </w:rPr>
        <w:t>reglas</w:t>
      </w:r>
      <w:r>
        <w:rPr>
          <w:rFonts w:ascii="Arial" w:hAnsi="Arial" w:cs="Arial"/>
          <w:sz w:val="24"/>
        </w:rPr>
        <w:t xml:space="preserve"> </w:t>
      </w:r>
      <w:r w:rsidRPr="00A507A2">
        <w:rPr>
          <w:rFonts w:ascii="Arial" w:hAnsi="Arial" w:cs="Arial"/>
          <w:sz w:val="24"/>
        </w:rPr>
        <w:t xml:space="preserve">judiciales. Primero, como el respeto del precedente se funda en gran medida en el principio de igualdad, entonces es lógico que únicamente aquella regla que fue la base real de la decisión tenga fuerza sobre los otros jueces. Si una decisión posterior no acepta un </w:t>
      </w:r>
      <w:proofErr w:type="spellStart"/>
      <w:r w:rsidRPr="00A507A2">
        <w:rPr>
          <w:rFonts w:ascii="Arial" w:hAnsi="Arial" w:cs="Arial"/>
          <w:sz w:val="24"/>
        </w:rPr>
        <w:t>obiter</w:t>
      </w:r>
      <w:proofErr w:type="spellEnd"/>
      <w:r w:rsidRPr="00A507A2">
        <w:rPr>
          <w:rFonts w:ascii="Arial" w:hAnsi="Arial" w:cs="Arial"/>
          <w:sz w:val="24"/>
        </w:rPr>
        <w:t xml:space="preserve"> </w:t>
      </w:r>
      <w:proofErr w:type="spellStart"/>
      <w:r w:rsidRPr="00A507A2">
        <w:rPr>
          <w:rFonts w:ascii="Arial" w:hAnsi="Arial" w:cs="Arial"/>
          <w:sz w:val="24"/>
        </w:rPr>
        <w:t>dictum</w:t>
      </w:r>
      <w:proofErr w:type="spellEnd"/>
      <w:r w:rsidRPr="00A507A2">
        <w:rPr>
          <w:rFonts w:ascii="Arial" w:hAnsi="Arial" w:cs="Arial"/>
          <w:sz w:val="24"/>
        </w:rPr>
        <w:t xml:space="preserve"> de una sentencia previa, no hay violación de la igualdad, ya que esa consideración no incidió directamente en la parte resolutiva del primer caso. Por el contrario, si el juez posterior ignora la ratio decidendi del caso anterior, entonces puede</w:t>
      </w:r>
      <w:r>
        <w:rPr>
          <w:rFonts w:ascii="Arial" w:hAnsi="Arial" w:cs="Arial"/>
          <w:sz w:val="24"/>
        </w:rPr>
        <w:t xml:space="preserve"> </w:t>
      </w:r>
      <w:r w:rsidRPr="00A507A2">
        <w:rPr>
          <w:rFonts w:ascii="Arial" w:hAnsi="Arial" w:cs="Arial"/>
          <w:sz w:val="24"/>
        </w:rPr>
        <w:t>configurarse una vulneración de la igualdad, por cuanto dos asuntos iguales podrían ser decididos en forma</w:t>
      </w:r>
      <w:r>
        <w:rPr>
          <w:rFonts w:ascii="Arial" w:hAnsi="Arial" w:cs="Arial"/>
          <w:sz w:val="24"/>
        </w:rPr>
        <w:t xml:space="preserve"> </w:t>
      </w:r>
      <w:r w:rsidRPr="00A507A2">
        <w:rPr>
          <w:rFonts w:ascii="Arial" w:hAnsi="Arial" w:cs="Arial"/>
          <w:sz w:val="24"/>
        </w:rPr>
        <w:t xml:space="preserve">diversa. </w:t>
      </w:r>
    </w:p>
    <w:p w:rsidR="0098715D" w:rsidRDefault="0098715D" w:rsidP="00A507A2">
      <w:pPr>
        <w:pStyle w:val="Sansinterligne"/>
        <w:ind w:left="567" w:right="567"/>
        <w:jc w:val="both"/>
        <w:rPr>
          <w:rFonts w:ascii="Arial" w:hAnsi="Arial" w:cs="Arial"/>
          <w:sz w:val="24"/>
        </w:rPr>
      </w:pPr>
    </w:p>
    <w:p w:rsidR="0098715D" w:rsidRDefault="00A507A2" w:rsidP="00A507A2">
      <w:pPr>
        <w:pStyle w:val="Sansinterligne"/>
        <w:ind w:left="567" w:right="567"/>
        <w:jc w:val="both"/>
        <w:rPr>
          <w:rFonts w:ascii="Arial" w:hAnsi="Arial" w:cs="Arial"/>
          <w:sz w:val="24"/>
        </w:rPr>
      </w:pPr>
      <w:r w:rsidRPr="00A507A2">
        <w:rPr>
          <w:rFonts w:ascii="Arial" w:hAnsi="Arial" w:cs="Arial"/>
          <w:sz w:val="24"/>
        </w:rPr>
        <w:t>Segundo, la creación judicial de derecho es inevitable, al menos porque los jueces, al decidir los casos, deben llenar vacíos de regulación, solucionar conflictos entre normas o determinar si una regla dudosa es o no aplicable. Sin embargo, en una democracia basada en la separación de poderes, esta creación pretoriana de derecho debe desarrollarse solo en la resolución de litigios concretos, y no en forma abstracta, pues</w:t>
      </w:r>
      <w:r>
        <w:rPr>
          <w:rFonts w:ascii="Arial" w:hAnsi="Arial" w:cs="Arial"/>
          <w:sz w:val="24"/>
        </w:rPr>
        <w:t xml:space="preserve"> </w:t>
      </w:r>
      <w:r w:rsidRPr="00A507A2">
        <w:rPr>
          <w:rFonts w:ascii="Arial" w:hAnsi="Arial" w:cs="Arial"/>
          <w:sz w:val="24"/>
        </w:rPr>
        <w:t>esto</w:t>
      </w:r>
      <w:r>
        <w:rPr>
          <w:rFonts w:ascii="Arial" w:hAnsi="Arial" w:cs="Arial"/>
          <w:sz w:val="24"/>
        </w:rPr>
        <w:t xml:space="preserve"> </w:t>
      </w:r>
      <w:r w:rsidRPr="00A507A2">
        <w:rPr>
          <w:rFonts w:ascii="Arial" w:hAnsi="Arial" w:cs="Arial"/>
          <w:sz w:val="24"/>
        </w:rPr>
        <w:t>último</w:t>
      </w:r>
      <w:r>
        <w:rPr>
          <w:rFonts w:ascii="Arial" w:hAnsi="Arial" w:cs="Arial"/>
          <w:sz w:val="24"/>
        </w:rPr>
        <w:t xml:space="preserve"> </w:t>
      </w:r>
      <w:r w:rsidRPr="00A507A2">
        <w:rPr>
          <w:rFonts w:ascii="Arial" w:hAnsi="Arial" w:cs="Arial"/>
          <w:sz w:val="24"/>
        </w:rPr>
        <w:t>afectaría el</w:t>
      </w:r>
      <w:r>
        <w:rPr>
          <w:rFonts w:ascii="Arial" w:hAnsi="Arial" w:cs="Arial"/>
          <w:sz w:val="24"/>
        </w:rPr>
        <w:t xml:space="preserve"> </w:t>
      </w:r>
      <w:r w:rsidRPr="00A507A2">
        <w:rPr>
          <w:rFonts w:ascii="Arial" w:hAnsi="Arial" w:cs="Arial"/>
          <w:sz w:val="24"/>
        </w:rPr>
        <w:t>principio</w:t>
      </w:r>
      <w:r>
        <w:rPr>
          <w:rFonts w:ascii="Arial" w:hAnsi="Arial" w:cs="Arial"/>
          <w:sz w:val="24"/>
        </w:rPr>
        <w:t xml:space="preserve"> </w:t>
      </w:r>
      <w:r w:rsidRPr="00A507A2">
        <w:rPr>
          <w:rFonts w:ascii="Arial" w:hAnsi="Arial" w:cs="Arial"/>
          <w:sz w:val="24"/>
        </w:rPr>
        <w:t>democrático ya</w:t>
      </w:r>
      <w:r>
        <w:rPr>
          <w:rFonts w:ascii="Arial" w:hAnsi="Arial" w:cs="Arial"/>
          <w:sz w:val="24"/>
        </w:rPr>
        <w:t xml:space="preserve"> </w:t>
      </w:r>
      <w:r w:rsidRPr="00A507A2">
        <w:rPr>
          <w:rFonts w:ascii="Arial" w:hAnsi="Arial" w:cs="Arial"/>
          <w:sz w:val="24"/>
        </w:rPr>
        <w:t>que</w:t>
      </w:r>
      <w:r>
        <w:rPr>
          <w:rFonts w:ascii="Arial" w:hAnsi="Arial" w:cs="Arial"/>
          <w:sz w:val="24"/>
        </w:rPr>
        <w:t xml:space="preserve"> </w:t>
      </w:r>
      <w:r w:rsidRPr="00A507A2">
        <w:rPr>
          <w:rFonts w:ascii="Arial" w:hAnsi="Arial" w:cs="Arial"/>
          <w:sz w:val="24"/>
        </w:rPr>
        <w:t>permitiría que</w:t>
      </w:r>
      <w:r>
        <w:rPr>
          <w:rFonts w:ascii="Arial" w:hAnsi="Arial" w:cs="Arial"/>
          <w:sz w:val="24"/>
        </w:rPr>
        <w:t xml:space="preserve"> </w:t>
      </w:r>
      <w:r w:rsidRPr="00A507A2">
        <w:rPr>
          <w:rFonts w:ascii="Arial" w:hAnsi="Arial" w:cs="Arial"/>
          <w:sz w:val="24"/>
        </w:rPr>
        <w:t>los</w:t>
      </w:r>
      <w:r>
        <w:rPr>
          <w:rFonts w:ascii="Arial" w:hAnsi="Arial" w:cs="Arial"/>
          <w:sz w:val="24"/>
        </w:rPr>
        <w:t xml:space="preserve"> </w:t>
      </w:r>
      <w:r w:rsidRPr="00A507A2">
        <w:rPr>
          <w:rFonts w:ascii="Arial" w:hAnsi="Arial" w:cs="Arial"/>
          <w:sz w:val="24"/>
        </w:rPr>
        <w:t>jueces</w:t>
      </w:r>
      <w:r>
        <w:rPr>
          <w:rFonts w:ascii="Arial" w:hAnsi="Arial" w:cs="Arial"/>
          <w:sz w:val="24"/>
        </w:rPr>
        <w:t xml:space="preserve"> </w:t>
      </w:r>
      <w:r w:rsidRPr="00A507A2">
        <w:rPr>
          <w:rFonts w:ascii="Arial" w:hAnsi="Arial" w:cs="Arial"/>
          <w:sz w:val="24"/>
        </w:rPr>
        <w:t>legislen a su antojo. Por ello únicamente aquella regla jurisprudencial directamente ligada a la solución del caso, esto</w:t>
      </w:r>
      <w:r>
        <w:rPr>
          <w:rFonts w:ascii="Arial" w:hAnsi="Arial" w:cs="Arial"/>
          <w:sz w:val="24"/>
        </w:rPr>
        <w:t xml:space="preserve"> </w:t>
      </w:r>
      <w:r w:rsidRPr="00A507A2">
        <w:rPr>
          <w:rFonts w:ascii="Arial" w:hAnsi="Arial" w:cs="Arial"/>
          <w:sz w:val="24"/>
        </w:rPr>
        <w:t>es,</w:t>
      </w:r>
      <w:r>
        <w:rPr>
          <w:rFonts w:ascii="Arial" w:hAnsi="Arial" w:cs="Arial"/>
          <w:sz w:val="24"/>
        </w:rPr>
        <w:t xml:space="preserve"> </w:t>
      </w:r>
      <w:r w:rsidRPr="00A507A2">
        <w:rPr>
          <w:rFonts w:ascii="Arial" w:hAnsi="Arial" w:cs="Arial"/>
          <w:sz w:val="24"/>
        </w:rPr>
        <w:t>la</w:t>
      </w:r>
      <w:r>
        <w:rPr>
          <w:rFonts w:ascii="Arial" w:hAnsi="Arial" w:cs="Arial"/>
          <w:sz w:val="24"/>
        </w:rPr>
        <w:t xml:space="preserve"> </w:t>
      </w:r>
      <w:r w:rsidRPr="00A507A2">
        <w:rPr>
          <w:rFonts w:ascii="Arial" w:hAnsi="Arial" w:cs="Arial"/>
          <w:sz w:val="24"/>
        </w:rPr>
        <w:t>ratio</w:t>
      </w:r>
      <w:r>
        <w:rPr>
          <w:rFonts w:ascii="Arial" w:hAnsi="Arial" w:cs="Arial"/>
          <w:sz w:val="24"/>
        </w:rPr>
        <w:t xml:space="preserve"> </w:t>
      </w:r>
      <w:r w:rsidRPr="00A507A2">
        <w:rPr>
          <w:rFonts w:ascii="Arial" w:hAnsi="Arial" w:cs="Arial"/>
          <w:sz w:val="24"/>
        </w:rPr>
        <w:t>decidendi,</w:t>
      </w:r>
      <w:r w:rsidR="0098715D">
        <w:rPr>
          <w:rFonts w:ascii="Arial" w:hAnsi="Arial" w:cs="Arial"/>
          <w:sz w:val="24"/>
        </w:rPr>
        <w:t xml:space="preserve"> </w:t>
      </w:r>
      <w:r w:rsidRPr="00A507A2">
        <w:rPr>
          <w:rFonts w:ascii="Arial" w:hAnsi="Arial" w:cs="Arial"/>
          <w:sz w:val="24"/>
        </w:rPr>
        <w:t>puede</w:t>
      </w:r>
      <w:r>
        <w:rPr>
          <w:rFonts w:ascii="Arial" w:hAnsi="Arial" w:cs="Arial"/>
          <w:sz w:val="24"/>
        </w:rPr>
        <w:t xml:space="preserve"> </w:t>
      </w:r>
      <w:r w:rsidRPr="00A507A2">
        <w:rPr>
          <w:rFonts w:ascii="Arial" w:hAnsi="Arial" w:cs="Arial"/>
          <w:sz w:val="24"/>
        </w:rPr>
        <w:t>aspirar</w:t>
      </w:r>
      <w:r>
        <w:rPr>
          <w:rFonts w:ascii="Arial" w:hAnsi="Arial" w:cs="Arial"/>
          <w:sz w:val="24"/>
        </w:rPr>
        <w:t xml:space="preserve"> </w:t>
      </w:r>
      <w:r w:rsidRPr="00A507A2">
        <w:rPr>
          <w:rFonts w:ascii="Arial" w:hAnsi="Arial" w:cs="Arial"/>
          <w:sz w:val="24"/>
        </w:rPr>
        <w:t>a</w:t>
      </w:r>
      <w:r>
        <w:rPr>
          <w:rFonts w:ascii="Arial" w:hAnsi="Arial" w:cs="Arial"/>
          <w:sz w:val="24"/>
        </w:rPr>
        <w:t xml:space="preserve"> </w:t>
      </w:r>
      <w:r w:rsidRPr="00A507A2">
        <w:rPr>
          <w:rFonts w:ascii="Arial" w:hAnsi="Arial" w:cs="Arial"/>
          <w:sz w:val="24"/>
        </w:rPr>
        <w:t>convertirse</w:t>
      </w:r>
      <w:r>
        <w:rPr>
          <w:rFonts w:ascii="Arial" w:hAnsi="Arial" w:cs="Arial"/>
          <w:sz w:val="24"/>
        </w:rPr>
        <w:t xml:space="preserve"> </w:t>
      </w:r>
      <w:r w:rsidRPr="00A507A2">
        <w:rPr>
          <w:rFonts w:ascii="Arial" w:hAnsi="Arial" w:cs="Arial"/>
          <w:sz w:val="24"/>
        </w:rPr>
        <w:t>en</w:t>
      </w:r>
      <w:r>
        <w:rPr>
          <w:rFonts w:ascii="Arial" w:hAnsi="Arial" w:cs="Arial"/>
          <w:sz w:val="24"/>
        </w:rPr>
        <w:t xml:space="preserve"> </w:t>
      </w:r>
      <w:r w:rsidRPr="00A507A2">
        <w:rPr>
          <w:rFonts w:ascii="Arial" w:hAnsi="Arial" w:cs="Arial"/>
          <w:sz w:val="24"/>
        </w:rPr>
        <w:t>un</w:t>
      </w:r>
      <w:r>
        <w:rPr>
          <w:rFonts w:ascii="Arial" w:hAnsi="Arial" w:cs="Arial"/>
          <w:sz w:val="24"/>
        </w:rPr>
        <w:t xml:space="preserve"> </w:t>
      </w:r>
      <w:r w:rsidRPr="00A507A2">
        <w:rPr>
          <w:rFonts w:ascii="Arial" w:hAnsi="Arial" w:cs="Arial"/>
          <w:sz w:val="24"/>
        </w:rPr>
        <w:t>precedente</w:t>
      </w:r>
      <w:r>
        <w:rPr>
          <w:rFonts w:ascii="Arial" w:hAnsi="Arial" w:cs="Arial"/>
          <w:sz w:val="24"/>
        </w:rPr>
        <w:t xml:space="preserve"> </w:t>
      </w:r>
      <w:r w:rsidR="00B02003">
        <w:rPr>
          <w:rFonts w:ascii="Arial" w:hAnsi="Arial" w:cs="Arial"/>
          <w:sz w:val="24"/>
        </w:rPr>
        <w:t>vinculante.</w:t>
      </w:r>
    </w:p>
    <w:p w:rsidR="00B02003" w:rsidRDefault="00B02003" w:rsidP="00A507A2">
      <w:pPr>
        <w:pStyle w:val="Sansinterligne"/>
        <w:ind w:left="567" w:right="567"/>
        <w:jc w:val="both"/>
        <w:rPr>
          <w:rFonts w:ascii="Arial" w:hAnsi="Arial" w:cs="Arial"/>
          <w:sz w:val="24"/>
        </w:rPr>
      </w:pPr>
    </w:p>
    <w:p w:rsidR="00A507A2" w:rsidRDefault="00A507A2" w:rsidP="00A507A2">
      <w:pPr>
        <w:pStyle w:val="Sansinterligne"/>
        <w:ind w:left="567" w:right="567"/>
        <w:jc w:val="both"/>
        <w:rPr>
          <w:rFonts w:ascii="Arial" w:hAnsi="Arial" w:cs="Arial"/>
          <w:sz w:val="24"/>
        </w:rPr>
      </w:pPr>
      <w:r w:rsidRPr="00A507A2">
        <w:rPr>
          <w:rFonts w:ascii="Arial" w:hAnsi="Arial" w:cs="Arial"/>
          <w:sz w:val="24"/>
        </w:rPr>
        <w:t>Finalmente, una de las justificaciones para la creación judicial de derecho es que ella permite que el ordenamiento jurídico evolucione inductivamente a partir de la experiencia concreta. Por ello solo puede aspirar a tener fuerza vinculante la ratio decidendi, ya que esa regla jurisprudencial fue la que verdaderamente tuvo un examen intenso en el debate judicial, en la medida que de ella dependía el sentido</w:t>
      </w:r>
      <w:r>
        <w:rPr>
          <w:rFonts w:ascii="Arial" w:hAnsi="Arial" w:cs="Arial"/>
          <w:sz w:val="24"/>
        </w:rPr>
        <w:t xml:space="preserve"> </w:t>
      </w:r>
      <w:r w:rsidRPr="00A507A2">
        <w:rPr>
          <w:rFonts w:ascii="Arial" w:hAnsi="Arial" w:cs="Arial"/>
          <w:sz w:val="24"/>
        </w:rPr>
        <w:t>de</w:t>
      </w:r>
      <w:r>
        <w:rPr>
          <w:rFonts w:ascii="Arial" w:hAnsi="Arial" w:cs="Arial"/>
          <w:sz w:val="24"/>
        </w:rPr>
        <w:t xml:space="preserve"> </w:t>
      </w:r>
      <w:r w:rsidRPr="00A507A2">
        <w:rPr>
          <w:rFonts w:ascii="Arial" w:hAnsi="Arial" w:cs="Arial"/>
          <w:sz w:val="24"/>
        </w:rPr>
        <w:t>la</w:t>
      </w:r>
      <w:r>
        <w:rPr>
          <w:rFonts w:ascii="Arial" w:hAnsi="Arial" w:cs="Arial"/>
          <w:sz w:val="24"/>
        </w:rPr>
        <w:t xml:space="preserve"> </w:t>
      </w:r>
      <w:r w:rsidRPr="00A507A2">
        <w:rPr>
          <w:rFonts w:ascii="Arial" w:hAnsi="Arial" w:cs="Arial"/>
          <w:sz w:val="24"/>
        </w:rPr>
        <w:t>parte</w:t>
      </w:r>
      <w:r>
        <w:rPr>
          <w:rFonts w:ascii="Arial" w:hAnsi="Arial" w:cs="Arial"/>
          <w:sz w:val="24"/>
        </w:rPr>
        <w:t xml:space="preserve"> </w:t>
      </w:r>
      <w:r w:rsidRPr="00A507A2">
        <w:rPr>
          <w:rFonts w:ascii="Arial" w:hAnsi="Arial" w:cs="Arial"/>
          <w:sz w:val="24"/>
        </w:rPr>
        <w:t>resolutiva.</w:t>
      </w:r>
    </w:p>
    <w:p w:rsidR="00D84252" w:rsidRDefault="00D84252" w:rsidP="00D84252">
      <w:pPr>
        <w:pStyle w:val="Sansinterligne"/>
        <w:spacing w:line="360" w:lineRule="auto"/>
        <w:jc w:val="both"/>
        <w:rPr>
          <w:rFonts w:ascii="Arial" w:hAnsi="Arial" w:cs="Arial"/>
          <w:sz w:val="24"/>
        </w:rPr>
      </w:pPr>
    </w:p>
    <w:p w:rsidR="003839FB" w:rsidRDefault="008D46DD" w:rsidP="008D46DD">
      <w:pPr>
        <w:pStyle w:val="Sansinterligne"/>
        <w:spacing w:line="360" w:lineRule="auto"/>
        <w:jc w:val="both"/>
        <w:rPr>
          <w:rFonts w:ascii="Arial" w:hAnsi="Arial" w:cs="Arial"/>
          <w:sz w:val="24"/>
          <w:lang w:val="es-CO"/>
        </w:rPr>
      </w:pPr>
      <w:r>
        <w:rPr>
          <w:rFonts w:ascii="Arial" w:hAnsi="Arial" w:cs="Arial"/>
          <w:sz w:val="24"/>
          <w:lang w:val="es-CO"/>
        </w:rPr>
        <w:t xml:space="preserve">Ahora, sobre la interrupción, dispone el artículo 317, literal c) que: </w:t>
      </w:r>
      <w:r w:rsidRPr="001A7916">
        <w:rPr>
          <w:rFonts w:ascii="Arial" w:hAnsi="Arial" w:cs="Arial"/>
          <w:i/>
          <w:lang w:val="es-CO"/>
        </w:rPr>
        <w:t>“Cualquier actuación, de oficio o a petición de parte, de cualquier naturaleza, interrumpirá los términos previstos en este artículo.</w:t>
      </w:r>
      <w:r>
        <w:rPr>
          <w:rFonts w:ascii="Arial" w:hAnsi="Arial" w:cs="Arial"/>
          <w:sz w:val="24"/>
          <w:lang w:val="es-CO"/>
        </w:rPr>
        <w:t xml:space="preserve">”, de cuyo enunciado se </w:t>
      </w:r>
      <w:r w:rsidR="00D005E9">
        <w:rPr>
          <w:rFonts w:ascii="Arial" w:hAnsi="Arial" w:cs="Arial"/>
          <w:sz w:val="24"/>
          <w:lang w:val="es-CO"/>
        </w:rPr>
        <w:t>podría inferir</w:t>
      </w:r>
      <w:r>
        <w:rPr>
          <w:rFonts w:ascii="Arial" w:hAnsi="Arial" w:cs="Arial"/>
          <w:sz w:val="24"/>
          <w:lang w:val="es-CO"/>
        </w:rPr>
        <w:t xml:space="preserve"> que al emplear la expresión “actuación”, se está significando que debe mediar una providencia</w:t>
      </w:r>
      <w:r>
        <w:rPr>
          <w:rStyle w:val="Appelnotedebasdep"/>
          <w:rFonts w:ascii="Arial" w:hAnsi="Arial"/>
          <w:sz w:val="24"/>
          <w:lang w:val="es-CO"/>
        </w:rPr>
        <w:footnoteReference w:id="17"/>
      </w:r>
      <w:r>
        <w:rPr>
          <w:rFonts w:ascii="Arial" w:hAnsi="Arial" w:cs="Arial"/>
          <w:sz w:val="24"/>
          <w:lang w:val="es-CO"/>
        </w:rPr>
        <w:t xml:space="preserve">, </w:t>
      </w:r>
      <w:r w:rsidR="00D005E9">
        <w:rPr>
          <w:rFonts w:ascii="Arial" w:hAnsi="Arial" w:cs="Arial"/>
          <w:sz w:val="24"/>
          <w:lang w:val="es-CO"/>
        </w:rPr>
        <w:t xml:space="preserve">sin embargo </w:t>
      </w:r>
      <w:r w:rsidR="00735704">
        <w:rPr>
          <w:rFonts w:ascii="Arial" w:hAnsi="Arial" w:cs="Arial"/>
          <w:sz w:val="24"/>
          <w:lang w:val="es-CO"/>
        </w:rPr>
        <w:t>al revisar</w:t>
      </w:r>
      <w:r w:rsidR="00D005E9">
        <w:rPr>
          <w:rFonts w:ascii="Arial" w:hAnsi="Arial" w:cs="Arial"/>
          <w:sz w:val="24"/>
          <w:lang w:val="es-CO"/>
        </w:rPr>
        <w:t xml:space="preserve"> de nuevo,</w:t>
      </w:r>
      <w:r w:rsidR="003C00F7">
        <w:rPr>
          <w:rFonts w:ascii="Arial" w:hAnsi="Arial" w:cs="Arial"/>
          <w:sz w:val="24"/>
          <w:lang w:val="es-CO"/>
        </w:rPr>
        <w:t xml:space="preserve"> </w:t>
      </w:r>
      <w:r w:rsidR="00D005E9">
        <w:rPr>
          <w:rFonts w:ascii="Arial" w:hAnsi="Arial" w:cs="Arial"/>
          <w:sz w:val="24"/>
          <w:lang w:val="es-CO"/>
        </w:rPr>
        <w:t xml:space="preserve"> ese parecer, y en aplicación de un criterio teleológico, de lo que se trata es </w:t>
      </w:r>
      <w:r w:rsidR="00735704">
        <w:rPr>
          <w:rFonts w:ascii="Arial" w:hAnsi="Arial" w:cs="Arial"/>
          <w:sz w:val="24"/>
          <w:lang w:val="es-CO"/>
        </w:rPr>
        <w:t xml:space="preserve">de </w:t>
      </w:r>
      <w:r w:rsidR="00D005E9">
        <w:rPr>
          <w:rFonts w:ascii="Arial" w:hAnsi="Arial" w:cs="Arial"/>
          <w:sz w:val="24"/>
          <w:lang w:val="es-CO"/>
        </w:rPr>
        <w:t xml:space="preserve">que </w:t>
      </w:r>
      <w:r w:rsidR="00D005E9" w:rsidRPr="00735704">
        <w:rPr>
          <w:rFonts w:ascii="Arial" w:hAnsi="Arial" w:cs="Arial"/>
          <w:sz w:val="24"/>
          <w:u w:val="single"/>
          <w:lang w:val="es-CO"/>
        </w:rPr>
        <w:t>la parte evidencie su interés por el trámite o proceso</w:t>
      </w:r>
      <w:r w:rsidR="00D005E9">
        <w:rPr>
          <w:rFonts w:ascii="Arial" w:hAnsi="Arial" w:cs="Arial"/>
          <w:sz w:val="24"/>
          <w:lang w:val="es-CO"/>
        </w:rPr>
        <w:t xml:space="preserve">, con prescindencia </w:t>
      </w:r>
      <w:r w:rsidR="00D005E9">
        <w:rPr>
          <w:rFonts w:ascii="Arial" w:hAnsi="Arial" w:cs="Arial"/>
          <w:sz w:val="24"/>
          <w:lang w:val="es-CO"/>
        </w:rPr>
        <w:lastRenderedPageBreak/>
        <w:t xml:space="preserve">de que el juez o jueza, </w:t>
      </w:r>
      <w:r w:rsidR="003839FB">
        <w:rPr>
          <w:rFonts w:ascii="Arial" w:hAnsi="Arial" w:cs="Arial"/>
          <w:sz w:val="24"/>
          <w:lang w:val="es-CO"/>
        </w:rPr>
        <w:t xml:space="preserve">aunque </w:t>
      </w:r>
      <w:r w:rsidR="00735704">
        <w:rPr>
          <w:rFonts w:ascii="Arial" w:hAnsi="Arial" w:cs="Arial"/>
          <w:sz w:val="24"/>
          <w:lang w:val="es-CO"/>
        </w:rPr>
        <w:t>también se produce idéntico efecto, cuando se emite una providencia judicial</w:t>
      </w:r>
      <w:r w:rsidR="003839FB">
        <w:rPr>
          <w:rFonts w:ascii="Arial" w:hAnsi="Arial" w:cs="Arial"/>
          <w:sz w:val="24"/>
          <w:lang w:val="es-CO"/>
        </w:rPr>
        <w:t>.</w:t>
      </w:r>
      <w:r w:rsidR="003C00F7">
        <w:rPr>
          <w:rFonts w:ascii="Arial" w:hAnsi="Arial" w:cs="Arial"/>
          <w:sz w:val="24"/>
          <w:lang w:val="es-CO"/>
        </w:rPr>
        <w:t xml:space="preserve"> Así se precisó en decisión precedente de esta misma Sala Unitaria</w:t>
      </w:r>
      <w:r w:rsidR="003C00F7">
        <w:rPr>
          <w:rStyle w:val="Appelnotedebasdep"/>
          <w:rFonts w:ascii="Arial" w:hAnsi="Arial"/>
          <w:sz w:val="24"/>
          <w:lang w:val="es-CO"/>
        </w:rPr>
        <w:footnoteReference w:id="18"/>
      </w:r>
      <w:r w:rsidR="003C00F7">
        <w:rPr>
          <w:rFonts w:ascii="Arial" w:hAnsi="Arial" w:cs="Arial"/>
          <w:sz w:val="24"/>
          <w:lang w:val="es-CO"/>
        </w:rPr>
        <w:t>.</w:t>
      </w:r>
    </w:p>
    <w:p w:rsidR="003839FB" w:rsidRDefault="003839FB" w:rsidP="008D46DD">
      <w:pPr>
        <w:pStyle w:val="Sansinterligne"/>
        <w:spacing w:line="360" w:lineRule="auto"/>
        <w:jc w:val="both"/>
        <w:rPr>
          <w:rFonts w:ascii="Arial" w:hAnsi="Arial" w:cs="Arial"/>
          <w:sz w:val="24"/>
          <w:lang w:val="es-CO"/>
        </w:rPr>
      </w:pPr>
    </w:p>
    <w:p w:rsidR="009F7EDE" w:rsidRDefault="00234D08" w:rsidP="008D46DD">
      <w:pPr>
        <w:pStyle w:val="Sansinterligne"/>
        <w:spacing w:line="360" w:lineRule="auto"/>
        <w:jc w:val="both"/>
        <w:rPr>
          <w:rFonts w:ascii="Arial" w:hAnsi="Arial" w:cs="Arial"/>
          <w:sz w:val="24"/>
          <w:lang w:val="es-CO"/>
        </w:rPr>
      </w:pPr>
      <w:r>
        <w:rPr>
          <w:rFonts w:ascii="Arial" w:hAnsi="Arial" w:cs="Arial"/>
          <w:sz w:val="24"/>
          <w:lang w:val="es-CO"/>
        </w:rPr>
        <w:t>Ciertamente</w:t>
      </w:r>
      <w:r w:rsidR="00946D4F">
        <w:rPr>
          <w:rFonts w:ascii="Arial" w:hAnsi="Arial" w:cs="Arial"/>
          <w:sz w:val="24"/>
          <w:lang w:val="es-CO"/>
        </w:rPr>
        <w:t xml:space="preserve">, en lo atinente a si la interrupción </w:t>
      </w:r>
      <w:r>
        <w:rPr>
          <w:rFonts w:ascii="Arial" w:hAnsi="Arial" w:cs="Arial"/>
          <w:sz w:val="24"/>
          <w:lang w:val="es-CO"/>
        </w:rPr>
        <w:t>aplica</w:t>
      </w:r>
      <w:r w:rsidR="00946D4F">
        <w:rPr>
          <w:rFonts w:ascii="Arial" w:hAnsi="Arial" w:cs="Arial"/>
          <w:sz w:val="24"/>
          <w:lang w:val="es-CO"/>
        </w:rPr>
        <w:t xml:space="preserve"> para las tres (3) hipótesis normativa</w:t>
      </w:r>
      <w:r w:rsidR="00707C5C">
        <w:rPr>
          <w:rFonts w:ascii="Arial" w:hAnsi="Arial" w:cs="Arial"/>
          <w:sz w:val="24"/>
          <w:lang w:val="es-CO"/>
        </w:rPr>
        <w:t>s</w:t>
      </w:r>
      <w:r w:rsidR="00946D4F">
        <w:rPr>
          <w:rFonts w:ascii="Arial" w:hAnsi="Arial" w:cs="Arial"/>
          <w:sz w:val="24"/>
          <w:lang w:val="es-CO"/>
        </w:rPr>
        <w:t xml:space="preserve"> previstas por la norma, </w:t>
      </w:r>
      <w:r w:rsidR="00821973">
        <w:rPr>
          <w:rFonts w:ascii="Arial" w:hAnsi="Arial" w:cs="Arial"/>
          <w:sz w:val="24"/>
          <w:lang w:val="es-CO"/>
        </w:rPr>
        <w:t xml:space="preserve">aunque </w:t>
      </w:r>
      <w:r w:rsidR="00946D4F">
        <w:rPr>
          <w:rFonts w:ascii="Arial" w:hAnsi="Arial" w:cs="Arial"/>
          <w:sz w:val="24"/>
          <w:lang w:val="es-CO"/>
        </w:rPr>
        <w:t>cabe indicar que existen al menos dos (2) posturas</w:t>
      </w:r>
      <w:r w:rsidR="00906FCA">
        <w:rPr>
          <w:rFonts w:ascii="Arial" w:hAnsi="Arial" w:cs="Arial"/>
          <w:sz w:val="24"/>
          <w:lang w:val="es-CO"/>
        </w:rPr>
        <w:t xml:space="preserve"> en la doctrina nacional</w:t>
      </w:r>
      <w:r w:rsidR="00946D4F">
        <w:rPr>
          <w:rFonts w:ascii="Arial" w:hAnsi="Arial" w:cs="Arial"/>
          <w:sz w:val="24"/>
          <w:lang w:val="es-CO"/>
        </w:rPr>
        <w:t>: una</w:t>
      </w:r>
      <w:r w:rsidR="00821973">
        <w:rPr>
          <w:rFonts w:ascii="Arial" w:hAnsi="Arial" w:cs="Arial"/>
          <w:sz w:val="24"/>
          <w:lang w:val="es-CO"/>
        </w:rPr>
        <w:t>,</w:t>
      </w:r>
      <w:r w:rsidR="00946D4F">
        <w:rPr>
          <w:rFonts w:ascii="Arial" w:hAnsi="Arial" w:cs="Arial"/>
          <w:sz w:val="24"/>
          <w:lang w:val="es-CO"/>
        </w:rPr>
        <w:t xml:space="preserve"> que </w:t>
      </w:r>
      <w:r w:rsidR="00906FCA">
        <w:rPr>
          <w:rFonts w:ascii="Arial" w:hAnsi="Arial" w:cs="Arial"/>
          <w:sz w:val="24"/>
          <w:lang w:val="es-CO"/>
        </w:rPr>
        <w:t xml:space="preserve">la </w:t>
      </w:r>
      <w:r w:rsidR="00946D4F">
        <w:rPr>
          <w:rFonts w:ascii="Arial" w:hAnsi="Arial" w:cs="Arial"/>
          <w:sz w:val="24"/>
          <w:lang w:val="es-CO"/>
        </w:rPr>
        <w:t xml:space="preserve">estima aplicable para </w:t>
      </w:r>
      <w:r w:rsidR="00580BC4">
        <w:rPr>
          <w:rFonts w:ascii="Arial" w:hAnsi="Arial" w:cs="Arial"/>
          <w:sz w:val="24"/>
          <w:lang w:val="es-CO"/>
        </w:rPr>
        <w:t>toda</w:t>
      </w:r>
      <w:r w:rsidR="00946D4F">
        <w:rPr>
          <w:rFonts w:ascii="Arial" w:hAnsi="Arial" w:cs="Arial"/>
          <w:sz w:val="24"/>
          <w:lang w:val="es-CO"/>
        </w:rPr>
        <w:t>s</w:t>
      </w:r>
      <w:r w:rsidR="00C34F32">
        <w:rPr>
          <w:rStyle w:val="Appelnotedebasdep"/>
          <w:rFonts w:ascii="Arial" w:hAnsi="Arial"/>
          <w:sz w:val="24"/>
          <w:lang w:val="es-CO"/>
        </w:rPr>
        <w:footnoteReference w:id="19"/>
      </w:r>
      <w:r w:rsidR="00946D4F">
        <w:rPr>
          <w:rFonts w:ascii="Arial" w:hAnsi="Arial" w:cs="Arial"/>
          <w:sz w:val="24"/>
          <w:lang w:val="es-CO"/>
        </w:rPr>
        <w:t xml:space="preserve"> y otra</w:t>
      </w:r>
      <w:r w:rsidR="00C34F32">
        <w:rPr>
          <w:rStyle w:val="Appelnotedebasdep"/>
          <w:rFonts w:ascii="Arial" w:hAnsi="Arial"/>
          <w:sz w:val="24"/>
          <w:lang w:val="es-CO"/>
        </w:rPr>
        <w:footnoteReference w:id="20"/>
      </w:r>
      <w:r w:rsidR="00821973">
        <w:rPr>
          <w:rFonts w:ascii="Arial" w:hAnsi="Arial" w:cs="Arial"/>
          <w:sz w:val="24"/>
          <w:lang w:val="es-CO"/>
        </w:rPr>
        <w:t>,</w:t>
      </w:r>
      <w:r w:rsidR="00946D4F">
        <w:rPr>
          <w:rFonts w:ascii="Arial" w:hAnsi="Arial" w:cs="Arial"/>
          <w:sz w:val="24"/>
          <w:lang w:val="es-CO"/>
        </w:rPr>
        <w:t xml:space="preserve"> que restringe tal posibilidad únicamente para la</w:t>
      </w:r>
      <w:r w:rsidR="00580BC4">
        <w:rPr>
          <w:rFonts w:ascii="Arial" w:hAnsi="Arial" w:cs="Arial"/>
          <w:sz w:val="24"/>
          <w:lang w:val="es-CO"/>
        </w:rPr>
        <w:t>s</w:t>
      </w:r>
      <w:r w:rsidR="00946D4F">
        <w:rPr>
          <w:rFonts w:ascii="Arial" w:hAnsi="Arial" w:cs="Arial"/>
          <w:sz w:val="24"/>
          <w:lang w:val="es-CO"/>
        </w:rPr>
        <w:t xml:space="preserve"> situaci</w:t>
      </w:r>
      <w:r w:rsidR="00580BC4">
        <w:rPr>
          <w:rFonts w:ascii="Arial" w:hAnsi="Arial" w:cs="Arial"/>
          <w:sz w:val="24"/>
          <w:lang w:val="es-CO"/>
        </w:rPr>
        <w:t xml:space="preserve">ones </w:t>
      </w:r>
      <w:r w:rsidR="00946D4F">
        <w:rPr>
          <w:rFonts w:ascii="Arial" w:hAnsi="Arial" w:cs="Arial"/>
          <w:sz w:val="24"/>
          <w:lang w:val="es-CO"/>
        </w:rPr>
        <w:t>consagrada</w:t>
      </w:r>
      <w:r w:rsidR="00580BC4">
        <w:rPr>
          <w:rFonts w:ascii="Arial" w:hAnsi="Arial" w:cs="Arial"/>
          <w:sz w:val="24"/>
          <w:lang w:val="es-CO"/>
        </w:rPr>
        <w:t>s</w:t>
      </w:r>
      <w:r w:rsidR="00946D4F">
        <w:rPr>
          <w:rFonts w:ascii="Arial" w:hAnsi="Arial" w:cs="Arial"/>
          <w:sz w:val="24"/>
          <w:lang w:val="es-CO"/>
        </w:rPr>
        <w:t xml:space="preserve"> en el ordinal 2º</w:t>
      </w:r>
      <w:r w:rsidR="00580BC4">
        <w:rPr>
          <w:rFonts w:ascii="Arial" w:hAnsi="Arial" w:cs="Arial"/>
          <w:sz w:val="24"/>
          <w:lang w:val="es-CO"/>
        </w:rPr>
        <w:t xml:space="preserve"> y en el literal b)</w:t>
      </w:r>
      <w:r w:rsidR="00946D4F">
        <w:rPr>
          <w:rFonts w:ascii="Arial" w:hAnsi="Arial" w:cs="Arial"/>
          <w:sz w:val="24"/>
          <w:lang w:val="es-CO"/>
        </w:rPr>
        <w:t xml:space="preserve">.  </w:t>
      </w:r>
    </w:p>
    <w:p w:rsidR="009F7EDE" w:rsidRDefault="009F7EDE" w:rsidP="008D46DD">
      <w:pPr>
        <w:pStyle w:val="Sansinterligne"/>
        <w:spacing w:line="360" w:lineRule="auto"/>
        <w:jc w:val="both"/>
        <w:rPr>
          <w:rFonts w:ascii="Arial" w:hAnsi="Arial" w:cs="Arial"/>
          <w:sz w:val="24"/>
          <w:lang w:val="es-CO"/>
        </w:rPr>
      </w:pPr>
    </w:p>
    <w:p w:rsidR="009F7EDE" w:rsidRPr="009F7EDE" w:rsidRDefault="008C7AE7" w:rsidP="009F7EDE">
      <w:pPr>
        <w:pStyle w:val="Sansinterligne"/>
        <w:spacing w:line="360" w:lineRule="auto"/>
        <w:jc w:val="both"/>
        <w:rPr>
          <w:rFonts w:ascii="Arial" w:hAnsi="Arial" w:cs="Arial"/>
          <w:lang w:val="es-CO"/>
        </w:rPr>
      </w:pPr>
      <w:r>
        <w:rPr>
          <w:rFonts w:ascii="Arial" w:hAnsi="Arial" w:cs="Arial"/>
          <w:sz w:val="24"/>
          <w:lang w:val="es-CO"/>
        </w:rPr>
        <w:t xml:space="preserve">Vale decir que, si bien, </w:t>
      </w:r>
      <w:r w:rsidR="00580BC4">
        <w:rPr>
          <w:rFonts w:ascii="Arial" w:hAnsi="Arial" w:cs="Arial"/>
          <w:sz w:val="24"/>
          <w:lang w:val="es-CO"/>
        </w:rPr>
        <w:t>en oportunidad anterior</w:t>
      </w:r>
      <w:r w:rsidR="00580BC4">
        <w:rPr>
          <w:rStyle w:val="Appelnotedebasdep"/>
          <w:rFonts w:ascii="Arial" w:hAnsi="Arial"/>
          <w:sz w:val="24"/>
          <w:lang w:val="es-CO"/>
        </w:rPr>
        <w:footnoteReference w:id="21"/>
      </w:r>
      <w:r w:rsidR="00580BC4">
        <w:rPr>
          <w:rFonts w:ascii="Arial" w:hAnsi="Arial" w:cs="Arial"/>
          <w:sz w:val="24"/>
          <w:lang w:val="es-CO"/>
        </w:rPr>
        <w:t>, esta Sala se abstuvo de tomar partido</w:t>
      </w:r>
      <w:r w:rsidR="001F55C5">
        <w:rPr>
          <w:rFonts w:ascii="Arial" w:hAnsi="Arial" w:cs="Arial"/>
          <w:sz w:val="24"/>
          <w:lang w:val="es-CO"/>
        </w:rPr>
        <w:t xml:space="preserve"> </w:t>
      </w:r>
      <w:r w:rsidR="00234D08">
        <w:rPr>
          <w:rFonts w:ascii="Arial" w:hAnsi="Arial" w:cs="Arial"/>
          <w:sz w:val="24"/>
          <w:lang w:val="es-CO"/>
        </w:rPr>
        <w:t>ya que</w:t>
      </w:r>
      <w:r w:rsidR="001F55C5">
        <w:rPr>
          <w:rFonts w:ascii="Arial" w:hAnsi="Arial" w:cs="Arial"/>
          <w:sz w:val="24"/>
          <w:lang w:val="es-CO"/>
        </w:rPr>
        <w:t xml:space="preserve"> </w:t>
      </w:r>
      <w:r w:rsidR="009F7EDE">
        <w:rPr>
          <w:rFonts w:ascii="Arial" w:hAnsi="Arial" w:cs="Arial"/>
          <w:sz w:val="24"/>
          <w:lang w:val="es-CO"/>
        </w:rPr>
        <w:t xml:space="preserve">la tesis de la interrupción </w:t>
      </w:r>
      <w:r w:rsidR="001F55C5">
        <w:rPr>
          <w:rFonts w:ascii="Arial" w:hAnsi="Arial" w:cs="Arial"/>
          <w:sz w:val="24"/>
          <w:lang w:val="es-CO"/>
        </w:rPr>
        <w:t xml:space="preserve">era inaplicable, en este caso </w:t>
      </w:r>
      <w:r w:rsidR="00580BC4">
        <w:rPr>
          <w:rFonts w:ascii="Arial" w:hAnsi="Arial" w:cs="Arial"/>
          <w:sz w:val="24"/>
          <w:lang w:val="es-CO"/>
        </w:rPr>
        <w:t xml:space="preserve">es necesario </w:t>
      </w:r>
      <w:r w:rsidR="001F55C5">
        <w:rPr>
          <w:rFonts w:ascii="Arial" w:hAnsi="Arial" w:cs="Arial"/>
          <w:sz w:val="24"/>
          <w:lang w:val="es-CO"/>
        </w:rPr>
        <w:t>h</w:t>
      </w:r>
      <w:r w:rsidR="009F7EDE">
        <w:rPr>
          <w:rFonts w:ascii="Arial" w:hAnsi="Arial" w:cs="Arial"/>
          <w:sz w:val="24"/>
          <w:lang w:val="es-CO"/>
        </w:rPr>
        <w:t xml:space="preserve">acerlo, pues es fundamento de la decisión y </w:t>
      </w:r>
      <w:r w:rsidR="00234D08">
        <w:rPr>
          <w:rFonts w:ascii="Arial" w:hAnsi="Arial" w:cs="Arial"/>
          <w:sz w:val="24"/>
          <w:lang w:val="es-CO"/>
        </w:rPr>
        <w:t xml:space="preserve">es que se estima opera para </w:t>
      </w:r>
      <w:r w:rsidR="00A8473A">
        <w:rPr>
          <w:rFonts w:ascii="Arial" w:hAnsi="Arial" w:cs="Arial"/>
          <w:sz w:val="24"/>
          <w:lang w:val="es-CO"/>
        </w:rPr>
        <w:t xml:space="preserve">cualquiera de los términos estatuidos, ya que el tenor literal </w:t>
      </w:r>
      <w:r w:rsidR="00234D08">
        <w:rPr>
          <w:rFonts w:ascii="Arial" w:hAnsi="Arial" w:cs="Arial"/>
          <w:sz w:val="24"/>
          <w:lang w:val="es-CO"/>
        </w:rPr>
        <w:t xml:space="preserve">(Criterio gramatical) </w:t>
      </w:r>
      <w:r w:rsidR="00A8473A">
        <w:rPr>
          <w:rFonts w:ascii="Arial" w:hAnsi="Arial" w:cs="Arial"/>
          <w:sz w:val="24"/>
          <w:lang w:val="es-CO"/>
        </w:rPr>
        <w:t xml:space="preserve">de esa regla impide hacer alguna restricción, </w:t>
      </w:r>
      <w:r w:rsidR="00234D08">
        <w:rPr>
          <w:rFonts w:ascii="Arial" w:hAnsi="Arial" w:cs="Arial"/>
          <w:sz w:val="24"/>
          <w:lang w:val="es-CO"/>
        </w:rPr>
        <w:t>también porque, la finalidad</w:t>
      </w:r>
      <w:r w:rsidR="006E2C5D">
        <w:rPr>
          <w:rFonts w:ascii="Arial" w:hAnsi="Arial" w:cs="Arial"/>
          <w:sz w:val="24"/>
          <w:lang w:val="es-CO"/>
        </w:rPr>
        <w:t xml:space="preserve"> de </w:t>
      </w:r>
      <w:r>
        <w:rPr>
          <w:rFonts w:ascii="Arial" w:hAnsi="Arial" w:cs="Arial"/>
          <w:sz w:val="24"/>
          <w:lang w:val="es-CO"/>
        </w:rPr>
        <w:t>es</w:t>
      </w:r>
      <w:r w:rsidR="00A8473A">
        <w:rPr>
          <w:rFonts w:ascii="Arial" w:hAnsi="Arial" w:cs="Arial"/>
          <w:sz w:val="24"/>
          <w:lang w:val="es-CO"/>
        </w:rPr>
        <w:t xml:space="preserve">a norma </w:t>
      </w:r>
      <w:r w:rsidR="00234D08">
        <w:rPr>
          <w:rFonts w:ascii="Arial" w:hAnsi="Arial" w:cs="Arial"/>
          <w:sz w:val="24"/>
          <w:lang w:val="es-CO"/>
        </w:rPr>
        <w:t xml:space="preserve">(Criterio teleológico) </w:t>
      </w:r>
      <w:r w:rsidR="00A8473A">
        <w:rPr>
          <w:rFonts w:ascii="Arial" w:hAnsi="Arial" w:cs="Arial"/>
          <w:sz w:val="24"/>
          <w:lang w:val="es-CO"/>
        </w:rPr>
        <w:t xml:space="preserve">es </w:t>
      </w:r>
      <w:r w:rsidR="00234D08">
        <w:rPr>
          <w:rFonts w:ascii="Arial" w:hAnsi="Arial" w:cs="Arial"/>
          <w:sz w:val="24"/>
          <w:lang w:val="es-CO"/>
        </w:rPr>
        <w:t xml:space="preserve">evitar la parálisis del proceso y </w:t>
      </w:r>
      <w:r>
        <w:rPr>
          <w:rFonts w:ascii="Arial" w:hAnsi="Arial" w:cs="Arial"/>
          <w:sz w:val="24"/>
          <w:lang w:val="es-CO"/>
        </w:rPr>
        <w:t>s</w:t>
      </w:r>
      <w:r w:rsidR="00A8473A">
        <w:rPr>
          <w:rFonts w:ascii="Arial" w:hAnsi="Arial" w:cs="Arial"/>
          <w:sz w:val="24"/>
          <w:lang w:val="es-CO"/>
        </w:rPr>
        <w:t xml:space="preserve">iempre </w:t>
      </w:r>
      <w:r>
        <w:rPr>
          <w:rFonts w:ascii="Arial" w:hAnsi="Arial" w:cs="Arial"/>
          <w:sz w:val="24"/>
          <w:lang w:val="es-CO"/>
        </w:rPr>
        <w:t xml:space="preserve">que la parte muestre </w:t>
      </w:r>
      <w:r w:rsidR="00A8473A">
        <w:rPr>
          <w:rFonts w:ascii="Arial" w:hAnsi="Arial" w:cs="Arial"/>
          <w:sz w:val="24"/>
          <w:lang w:val="es-CO"/>
        </w:rPr>
        <w:t>inter</w:t>
      </w:r>
      <w:r>
        <w:rPr>
          <w:rFonts w:ascii="Arial" w:hAnsi="Arial" w:cs="Arial"/>
          <w:sz w:val="24"/>
          <w:lang w:val="es-CO"/>
        </w:rPr>
        <w:t>é</w:t>
      </w:r>
      <w:r w:rsidR="00A8473A">
        <w:rPr>
          <w:rFonts w:ascii="Arial" w:hAnsi="Arial" w:cs="Arial"/>
          <w:sz w:val="24"/>
          <w:lang w:val="es-CO"/>
        </w:rPr>
        <w:t xml:space="preserve">s </w:t>
      </w:r>
      <w:r>
        <w:rPr>
          <w:rFonts w:ascii="Arial" w:hAnsi="Arial" w:cs="Arial"/>
          <w:sz w:val="24"/>
          <w:lang w:val="es-CO"/>
        </w:rPr>
        <w:t xml:space="preserve">en </w:t>
      </w:r>
      <w:r w:rsidR="00234D08">
        <w:rPr>
          <w:rFonts w:ascii="Arial" w:hAnsi="Arial" w:cs="Arial"/>
          <w:sz w:val="24"/>
          <w:lang w:val="es-CO"/>
        </w:rPr>
        <w:t xml:space="preserve">que perviva el proceso o la actuación, </w:t>
      </w:r>
      <w:r w:rsidR="00BF6F31">
        <w:rPr>
          <w:rFonts w:ascii="Arial" w:hAnsi="Arial" w:cs="Arial"/>
          <w:sz w:val="24"/>
          <w:lang w:val="es-CO"/>
        </w:rPr>
        <w:t xml:space="preserve">se </w:t>
      </w:r>
      <w:r w:rsidR="00234D08">
        <w:rPr>
          <w:rFonts w:ascii="Arial" w:hAnsi="Arial" w:cs="Arial"/>
          <w:sz w:val="24"/>
          <w:lang w:val="es-CO"/>
        </w:rPr>
        <w:t>privilegia</w:t>
      </w:r>
      <w:r w:rsidR="00BF6F31">
        <w:rPr>
          <w:rFonts w:ascii="Arial" w:hAnsi="Arial" w:cs="Arial"/>
          <w:sz w:val="24"/>
          <w:lang w:val="es-CO"/>
        </w:rPr>
        <w:t xml:space="preserve">rá </w:t>
      </w:r>
      <w:r>
        <w:rPr>
          <w:rFonts w:ascii="Arial" w:hAnsi="Arial" w:cs="Arial"/>
          <w:sz w:val="24"/>
          <w:lang w:val="es-CO"/>
        </w:rPr>
        <w:t>el acceso a la administración de justicia</w:t>
      </w:r>
      <w:r w:rsidR="00234D08">
        <w:rPr>
          <w:rFonts w:ascii="Arial" w:hAnsi="Arial" w:cs="Arial"/>
          <w:sz w:val="24"/>
          <w:lang w:val="es-CO"/>
        </w:rPr>
        <w:t>, pues como ya se dijo la hermenéutica es restrictiva por tratarse de una sanción.</w:t>
      </w:r>
      <w:r w:rsidR="009F7EDE">
        <w:rPr>
          <w:rFonts w:ascii="Arial" w:hAnsi="Arial" w:cs="Arial"/>
          <w:sz w:val="24"/>
          <w:lang w:val="es-CO"/>
        </w:rPr>
        <w:t xml:space="preserve"> </w:t>
      </w:r>
    </w:p>
    <w:p w:rsidR="00946D4F" w:rsidRDefault="00946D4F" w:rsidP="008D46DD">
      <w:pPr>
        <w:pStyle w:val="Sansinterligne"/>
        <w:spacing w:line="360" w:lineRule="auto"/>
        <w:jc w:val="both"/>
        <w:rPr>
          <w:rFonts w:ascii="Arial" w:hAnsi="Arial" w:cs="Arial"/>
          <w:sz w:val="24"/>
          <w:lang w:val="es-CO"/>
        </w:rPr>
      </w:pPr>
    </w:p>
    <w:p w:rsidR="008D46DD" w:rsidRDefault="008D46DD" w:rsidP="008D46DD">
      <w:pPr>
        <w:pStyle w:val="Sansinterligne"/>
        <w:spacing w:line="360" w:lineRule="auto"/>
        <w:jc w:val="both"/>
        <w:rPr>
          <w:rFonts w:ascii="Arial" w:hAnsi="Arial" w:cs="Arial"/>
          <w:sz w:val="24"/>
          <w:lang w:val="es-CO"/>
        </w:rPr>
      </w:pPr>
      <w:r>
        <w:rPr>
          <w:rFonts w:ascii="Arial" w:hAnsi="Arial" w:cs="Arial"/>
          <w:sz w:val="24"/>
          <w:lang w:val="es-CO"/>
        </w:rPr>
        <w:t xml:space="preserve">Por otra parte, idónea es </w:t>
      </w:r>
      <w:r w:rsidRPr="00792220">
        <w:rPr>
          <w:rFonts w:ascii="Arial" w:hAnsi="Arial" w:cs="Arial"/>
          <w:i/>
          <w:sz w:val="24"/>
          <w:lang w:val="es-CO"/>
        </w:rPr>
        <w:t>cualquier solicitud</w:t>
      </w:r>
      <w:r>
        <w:rPr>
          <w:rFonts w:ascii="Arial" w:hAnsi="Arial" w:cs="Arial"/>
          <w:sz w:val="24"/>
          <w:lang w:val="es-CO"/>
        </w:rPr>
        <w:t>, inúti</w:t>
      </w:r>
      <w:r w:rsidR="00821973">
        <w:rPr>
          <w:rFonts w:ascii="Arial" w:hAnsi="Arial" w:cs="Arial"/>
          <w:sz w:val="24"/>
          <w:lang w:val="es-CO"/>
        </w:rPr>
        <w:t xml:space="preserve">l es calificarla de </w:t>
      </w:r>
      <w:r>
        <w:rPr>
          <w:rFonts w:ascii="Arial" w:hAnsi="Arial" w:cs="Arial"/>
          <w:sz w:val="24"/>
          <w:lang w:val="es-CO"/>
        </w:rPr>
        <w:t xml:space="preserve">apta </w:t>
      </w:r>
      <w:r w:rsidR="00821973">
        <w:rPr>
          <w:rFonts w:ascii="Arial" w:hAnsi="Arial" w:cs="Arial"/>
          <w:sz w:val="24"/>
          <w:lang w:val="es-CO"/>
        </w:rPr>
        <w:t xml:space="preserve">o no </w:t>
      </w:r>
      <w:r>
        <w:rPr>
          <w:rFonts w:ascii="Arial" w:hAnsi="Arial" w:cs="Arial"/>
          <w:sz w:val="24"/>
          <w:lang w:val="es-CO"/>
        </w:rPr>
        <w:t>para impulsar la actuación, pues así sean peticiones de copias u otra especie, en especial aquellas que</w:t>
      </w:r>
      <w:r w:rsidR="00821973">
        <w:rPr>
          <w:rFonts w:ascii="Arial" w:hAnsi="Arial" w:cs="Arial"/>
          <w:sz w:val="24"/>
          <w:lang w:val="es-CO"/>
        </w:rPr>
        <w:t xml:space="preserve"> de ningún modo provocan </w:t>
      </w:r>
      <w:r>
        <w:rPr>
          <w:rFonts w:ascii="Arial" w:hAnsi="Arial" w:cs="Arial"/>
          <w:sz w:val="24"/>
          <w:lang w:val="es-CO"/>
        </w:rPr>
        <w:t>avance procesal, el legislador ha sido claro y reconoce que esos escritos demuestran un interés de la parte en el asunto, y ello basta interrumpir el término.</w:t>
      </w:r>
    </w:p>
    <w:p w:rsidR="008D46DD" w:rsidRDefault="008D46DD" w:rsidP="008D46DD">
      <w:pPr>
        <w:pStyle w:val="Sansinterligne"/>
        <w:spacing w:line="360" w:lineRule="auto"/>
        <w:jc w:val="both"/>
        <w:rPr>
          <w:rFonts w:ascii="Arial" w:hAnsi="Arial" w:cs="Arial"/>
          <w:sz w:val="24"/>
          <w:lang w:val="es-CO"/>
        </w:rPr>
      </w:pPr>
    </w:p>
    <w:p w:rsidR="008D46DD" w:rsidRDefault="008D46DD" w:rsidP="008D46DD">
      <w:pPr>
        <w:pStyle w:val="Sansinterligne"/>
        <w:spacing w:line="360" w:lineRule="auto"/>
        <w:jc w:val="both"/>
        <w:rPr>
          <w:rFonts w:ascii="Arial" w:hAnsi="Arial" w:cs="Arial"/>
          <w:sz w:val="24"/>
          <w:lang w:val="es-CO"/>
        </w:rPr>
      </w:pPr>
      <w:r>
        <w:rPr>
          <w:rFonts w:ascii="Arial" w:hAnsi="Arial" w:cs="Arial"/>
          <w:sz w:val="24"/>
          <w:lang w:val="es-CO"/>
        </w:rPr>
        <w:t>La primera hipótesis amerita requerimiento previo, mientras que para las dos (2) restantes (</w:t>
      </w:r>
      <w:r w:rsidRPr="008672BE">
        <w:rPr>
          <w:rFonts w:ascii="Arial" w:hAnsi="Arial" w:cs="Arial"/>
          <w:sz w:val="24"/>
          <w:szCs w:val="24"/>
          <w:lang w:val="es-CO"/>
        </w:rPr>
        <w:t>317-2º</w:t>
      </w:r>
      <w:r>
        <w:rPr>
          <w:rFonts w:ascii="Arial" w:hAnsi="Arial" w:cs="Arial"/>
          <w:sz w:val="24"/>
          <w:szCs w:val="24"/>
          <w:lang w:val="es-CO"/>
        </w:rPr>
        <w:t xml:space="preserve"> </w:t>
      </w:r>
      <w:r w:rsidRPr="008672BE">
        <w:rPr>
          <w:rFonts w:ascii="Arial" w:hAnsi="Arial" w:cs="Arial"/>
          <w:sz w:val="24"/>
          <w:szCs w:val="24"/>
          <w:lang w:val="es-CO"/>
        </w:rPr>
        <w:t>y</w:t>
      </w:r>
      <w:r>
        <w:rPr>
          <w:rFonts w:ascii="Arial" w:hAnsi="Arial" w:cs="Arial"/>
          <w:sz w:val="24"/>
          <w:szCs w:val="24"/>
          <w:lang w:val="es-CO"/>
        </w:rPr>
        <w:t xml:space="preserve"> </w:t>
      </w:r>
      <w:r w:rsidRPr="008672BE">
        <w:rPr>
          <w:rFonts w:ascii="Arial" w:hAnsi="Arial" w:cs="Arial"/>
          <w:sz w:val="24"/>
          <w:szCs w:val="24"/>
          <w:lang w:val="es-CO"/>
        </w:rPr>
        <w:t>31</w:t>
      </w:r>
      <w:r>
        <w:rPr>
          <w:rFonts w:ascii="Arial" w:hAnsi="Arial" w:cs="Arial"/>
          <w:sz w:val="24"/>
          <w:szCs w:val="24"/>
          <w:lang w:val="es-CO"/>
        </w:rPr>
        <w:t xml:space="preserve">7-2º-b), solo basta el </w:t>
      </w:r>
      <w:r>
        <w:rPr>
          <w:rFonts w:ascii="Arial" w:hAnsi="Arial" w:cs="Arial"/>
          <w:sz w:val="24"/>
          <w:lang w:val="es-CO"/>
        </w:rPr>
        <w:t>paso del tiempo, un (1) año cuando no haya sentencia y dos (2) años, cuando la hubiere. Dicho más llanamente: el plazo es objetivo, con las salvedades explicadas antes</w:t>
      </w:r>
      <w:r w:rsidR="002D4A2A">
        <w:rPr>
          <w:rFonts w:ascii="Arial" w:hAnsi="Arial" w:cs="Arial"/>
          <w:sz w:val="24"/>
          <w:lang w:val="es-CO"/>
        </w:rPr>
        <w:t xml:space="preserve"> </w:t>
      </w:r>
      <w:r w:rsidR="002D4A2A" w:rsidRPr="002D4A2A">
        <w:rPr>
          <w:rFonts w:ascii="Arial" w:hAnsi="Arial" w:cs="Arial"/>
          <w:sz w:val="24"/>
          <w:lang w:val="es-CO"/>
        </w:rPr>
        <w:t>(Incapaces sin representación judicial y cuando se pruebe la existencia de fuerza mayor).</w:t>
      </w:r>
    </w:p>
    <w:p w:rsidR="009C3EE8" w:rsidRDefault="009C3EE8" w:rsidP="008D46DD">
      <w:pPr>
        <w:pStyle w:val="Sansinterligne"/>
        <w:spacing w:line="360" w:lineRule="auto"/>
        <w:jc w:val="both"/>
        <w:rPr>
          <w:rFonts w:ascii="Arial" w:hAnsi="Arial" w:cs="Arial"/>
          <w:sz w:val="24"/>
          <w:lang w:val="es-CO"/>
        </w:rPr>
      </w:pPr>
    </w:p>
    <w:p w:rsidR="008D46DD" w:rsidRDefault="008D46DD" w:rsidP="00F92CC0">
      <w:pPr>
        <w:pStyle w:val="Sansinterligne"/>
        <w:spacing w:line="360" w:lineRule="auto"/>
        <w:jc w:val="both"/>
        <w:rPr>
          <w:rFonts w:ascii="Arial" w:hAnsi="Arial" w:cs="Arial"/>
          <w:sz w:val="24"/>
        </w:rPr>
      </w:pPr>
      <w:r>
        <w:rPr>
          <w:rFonts w:ascii="Arial" w:hAnsi="Arial" w:cs="Arial"/>
          <w:sz w:val="24"/>
          <w:lang w:val="es-CO"/>
        </w:rPr>
        <w:t>El conteo de la inactividad procesal se inicia desde la última diligencia o audiencia y se descontará el tiempo que estuviese el expediente suspendido por acuerdo de las partes (Literal a) de la norma).</w:t>
      </w:r>
    </w:p>
    <w:p w:rsidR="008D46DD" w:rsidRDefault="008D46DD" w:rsidP="00721094">
      <w:pPr>
        <w:pStyle w:val="Sansinterligne"/>
        <w:spacing w:line="360" w:lineRule="auto"/>
        <w:ind w:right="567"/>
        <w:jc w:val="both"/>
        <w:rPr>
          <w:rFonts w:ascii="Arial" w:hAnsi="Arial" w:cs="Arial"/>
          <w:sz w:val="24"/>
        </w:rPr>
      </w:pPr>
    </w:p>
    <w:p w:rsidR="00A67F37" w:rsidRPr="003839FB" w:rsidRDefault="00A67F37" w:rsidP="003839FB">
      <w:pPr>
        <w:pStyle w:val="Paragraphedeliste"/>
        <w:numPr>
          <w:ilvl w:val="2"/>
          <w:numId w:val="4"/>
        </w:numPr>
        <w:overflowPunct w:val="0"/>
        <w:autoSpaceDE w:val="0"/>
        <w:autoSpaceDN w:val="0"/>
        <w:adjustRightInd w:val="0"/>
        <w:spacing w:line="360" w:lineRule="auto"/>
        <w:jc w:val="both"/>
        <w:textAlignment w:val="baseline"/>
        <w:rPr>
          <w:rFonts w:ascii="Arial" w:hAnsi="Arial" w:cs="Arial"/>
          <w:smallCaps/>
        </w:rPr>
      </w:pPr>
      <w:r w:rsidRPr="003839FB">
        <w:rPr>
          <w:rFonts w:ascii="Arial" w:hAnsi="Arial" w:cs="Arial"/>
          <w:smallCaps/>
        </w:rPr>
        <w:t>El análisis del caso concreto</w:t>
      </w:r>
    </w:p>
    <w:p w:rsidR="003E3B9A" w:rsidRDefault="003E3B9A" w:rsidP="00812E9D">
      <w:pPr>
        <w:pStyle w:val="Sansinterligne"/>
        <w:spacing w:line="360" w:lineRule="auto"/>
        <w:jc w:val="both"/>
        <w:rPr>
          <w:rFonts w:ascii="Arial" w:hAnsi="Arial" w:cs="Arial"/>
          <w:sz w:val="24"/>
          <w:lang w:val="es-CO"/>
        </w:rPr>
      </w:pPr>
    </w:p>
    <w:p w:rsidR="009B0986" w:rsidRDefault="00F5440A" w:rsidP="00812E9D">
      <w:pPr>
        <w:pStyle w:val="Sansinterligne"/>
        <w:spacing w:line="360" w:lineRule="auto"/>
        <w:jc w:val="both"/>
        <w:rPr>
          <w:rFonts w:ascii="Arial" w:hAnsi="Arial" w:cs="Arial"/>
          <w:sz w:val="24"/>
          <w:lang w:val="es-CO"/>
        </w:rPr>
      </w:pPr>
      <w:r>
        <w:rPr>
          <w:rFonts w:ascii="Arial" w:hAnsi="Arial" w:cs="Arial"/>
          <w:sz w:val="24"/>
          <w:lang w:val="es-CO"/>
        </w:rPr>
        <w:t xml:space="preserve">La alzada se afinca en </w:t>
      </w:r>
      <w:r w:rsidR="001D2742">
        <w:rPr>
          <w:rFonts w:ascii="Arial" w:hAnsi="Arial" w:cs="Arial"/>
          <w:sz w:val="24"/>
          <w:lang w:val="es-CO"/>
        </w:rPr>
        <w:t>que fueron desconocidos, por el juez de conocimiento, los memoriales allegados el 28-10-2016 y el 08-11-2016, que dan cuenta de la información de los traslados y de las diligencias hechas entorno a la notificación de los demandados</w:t>
      </w:r>
      <w:r w:rsidR="0089738F">
        <w:rPr>
          <w:rFonts w:ascii="Arial" w:hAnsi="Arial" w:cs="Arial"/>
          <w:sz w:val="24"/>
          <w:lang w:val="es-CO"/>
        </w:rPr>
        <w:t>.</w:t>
      </w:r>
      <w:r w:rsidR="003F017C">
        <w:rPr>
          <w:rFonts w:ascii="Arial" w:hAnsi="Arial" w:cs="Arial"/>
          <w:sz w:val="24"/>
          <w:lang w:val="es-CO"/>
        </w:rPr>
        <w:t xml:space="preserve">  A su turno</w:t>
      </w:r>
      <w:r w:rsidR="001D2742">
        <w:rPr>
          <w:rFonts w:ascii="Arial" w:hAnsi="Arial" w:cs="Arial"/>
          <w:sz w:val="24"/>
          <w:lang w:val="es-CO"/>
        </w:rPr>
        <w:t>,</w:t>
      </w:r>
      <w:r w:rsidR="003F017C">
        <w:rPr>
          <w:rFonts w:ascii="Arial" w:hAnsi="Arial" w:cs="Arial"/>
          <w:sz w:val="24"/>
          <w:lang w:val="es-CO"/>
        </w:rPr>
        <w:t xml:space="preserve"> </w:t>
      </w:r>
      <w:r w:rsidR="001D2742">
        <w:rPr>
          <w:rFonts w:ascii="Arial" w:hAnsi="Arial" w:cs="Arial"/>
          <w:sz w:val="24"/>
          <w:lang w:val="es-CO"/>
        </w:rPr>
        <w:t xml:space="preserve">el proveído </w:t>
      </w:r>
      <w:r w:rsidR="00093241">
        <w:rPr>
          <w:rFonts w:ascii="Arial" w:hAnsi="Arial" w:cs="Arial"/>
          <w:sz w:val="24"/>
          <w:lang w:val="es-CO"/>
        </w:rPr>
        <w:t xml:space="preserve">de terminación, </w:t>
      </w:r>
      <w:r w:rsidR="001D2742">
        <w:rPr>
          <w:rFonts w:ascii="Arial" w:hAnsi="Arial" w:cs="Arial"/>
          <w:sz w:val="24"/>
          <w:lang w:val="es-CO"/>
        </w:rPr>
        <w:t xml:space="preserve">asegura que la parte actora dejó vencer el término concedido en proveído del 19-10-2016, sin realizar las diligencias necesarias para la notificación </w:t>
      </w:r>
      <w:r w:rsidR="001D2742" w:rsidRPr="00821973">
        <w:rPr>
          <w:rFonts w:ascii="Arial" w:hAnsi="Arial" w:cs="Arial"/>
          <w:sz w:val="24"/>
          <w:lang w:val="es-CO"/>
        </w:rPr>
        <w:t>efectiva</w:t>
      </w:r>
      <w:r w:rsidR="001D2742">
        <w:rPr>
          <w:rFonts w:ascii="Arial" w:hAnsi="Arial" w:cs="Arial"/>
          <w:sz w:val="24"/>
          <w:lang w:val="es-CO"/>
        </w:rPr>
        <w:t xml:space="preserve"> de la parte pasiva del proceso</w:t>
      </w:r>
      <w:r w:rsidR="004261FA">
        <w:rPr>
          <w:rFonts w:ascii="Arial" w:hAnsi="Arial" w:cs="Arial"/>
          <w:sz w:val="24"/>
          <w:lang w:val="es-CO"/>
        </w:rPr>
        <w:t>.</w:t>
      </w:r>
    </w:p>
    <w:p w:rsidR="00893CDF" w:rsidRDefault="00893CDF" w:rsidP="00812E9D">
      <w:pPr>
        <w:pStyle w:val="Sansinterligne"/>
        <w:spacing w:line="360" w:lineRule="auto"/>
        <w:jc w:val="both"/>
        <w:rPr>
          <w:rFonts w:ascii="Arial" w:hAnsi="Arial" w:cs="Arial"/>
          <w:sz w:val="24"/>
          <w:lang w:val="es-CO"/>
        </w:rPr>
      </w:pPr>
    </w:p>
    <w:p w:rsidR="004B0EAC" w:rsidRDefault="004B0EAC" w:rsidP="00812E9D">
      <w:pPr>
        <w:pStyle w:val="Sansinterligne"/>
        <w:spacing w:line="360" w:lineRule="auto"/>
        <w:jc w:val="both"/>
        <w:rPr>
          <w:rFonts w:ascii="Arial" w:hAnsi="Arial" w:cs="Arial"/>
          <w:sz w:val="24"/>
          <w:lang w:val="es-CO"/>
        </w:rPr>
      </w:pPr>
      <w:r>
        <w:rPr>
          <w:rFonts w:ascii="Arial" w:hAnsi="Arial" w:cs="Arial"/>
          <w:sz w:val="24"/>
          <w:lang w:val="es-CO"/>
        </w:rPr>
        <w:t>Al revisar la cuestión anterior, aprecia esta Sala que</w:t>
      </w:r>
      <w:r w:rsidR="005E4CC7">
        <w:rPr>
          <w:rFonts w:ascii="Arial" w:hAnsi="Arial" w:cs="Arial"/>
          <w:sz w:val="24"/>
          <w:lang w:val="es-CO"/>
        </w:rPr>
        <w:t xml:space="preserve">, al emitirse la terminación, en efecto, se desconocieron las diligencias efectuadas por la parte demandante, </w:t>
      </w:r>
      <w:r w:rsidR="00672903">
        <w:rPr>
          <w:rFonts w:ascii="Arial" w:hAnsi="Arial" w:cs="Arial"/>
          <w:sz w:val="24"/>
          <w:lang w:val="es-CO"/>
        </w:rPr>
        <w:t>ya que</w:t>
      </w:r>
      <w:r w:rsidR="00E5704D">
        <w:rPr>
          <w:rFonts w:ascii="Arial" w:hAnsi="Arial" w:cs="Arial"/>
          <w:sz w:val="24"/>
          <w:lang w:val="es-CO"/>
        </w:rPr>
        <w:t>,</w:t>
      </w:r>
      <w:r w:rsidR="005E4CC7">
        <w:rPr>
          <w:rFonts w:ascii="Arial" w:hAnsi="Arial" w:cs="Arial"/>
          <w:sz w:val="24"/>
          <w:lang w:val="es-CO"/>
        </w:rPr>
        <w:t xml:space="preserve"> acercó copia de la notificación por aviso practicada a </w:t>
      </w:r>
      <w:proofErr w:type="spellStart"/>
      <w:r w:rsidR="005E4CC7">
        <w:rPr>
          <w:rFonts w:ascii="Arial" w:hAnsi="Arial" w:cs="Arial"/>
          <w:sz w:val="24"/>
          <w:lang w:val="es-CO"/>
        </w:rPr>
        <w:t>Cafesalud</w:t>
      </w:r>
      <w:proofErr w:type="spellEnd"/>
      <w:r w:rsidR="005E4CC7">
        <w:rPr>
          <w:rFonts w:ascii="Arial" w:hAnsi="Arial" w:cs="Arial"/>
          <w:sz w:val="24"/>
          <w:lang w:val="es-CO"/>
        </w:rPr>
        <w:t xml:space="preserve"> </w:t>
      </w:r>
      <w:proofErr w:type="spellStart"/>
      <w:r w:rsidR="005E4CC7">
        <w:rPr>
          <w:rFonts w:ascii="Arial" w:hAnsi="Arial" w:cs="Arial"/>
          <w:sz w:val="24"/>
          <w:lang w:val="es-CO"/>
        </w:rPr>
        <w:t>EPS</w:t>
      </w:r>
      <w:proofErr w:type="spellEnd"/>
      <w:r w:rsidR="005E4CC7">
        <w:rPr>
          <w:rFonts w:ascii="Arial" w:hAnsi="Arial" w:cs="Arial"/>
          <w:sz w:val="24"/>
          <w:lang w:val="es-CO"/>
        </w:rPr>
        <w:t xml:space="preserve"> (Folio 333, frente y vuelto, cuaderno principal, tomo III) y de la constancia de envió de la citación a la Corporación </w:t>
      </w:r>
      <w:proofErr w:type="spellStart"/>
      <w:r w:rsidR="005E4CC7">
        <w:rPr>
          <w:rFonts w:ascii="Arial" w:hAnsi="Arial" w:cs="Arial"/>
          <w:sz w:val="24"/>
          <w:lang w:val="es-CO"/>
        </w:rPr>
        <w:t>IPS</w:t>
      </w:r>
      <w:proofErr w:type="spellEnd"/>
      <w:r w:rsidR="005E4CC7">
        <w:rPr>
          <w:rFonts w:ascii="Arial" w:hAnsi="Arial" w:cs="Arial"/>
          <w:sz w:val="24"/>
          <w:lang w:val="es-CO"/>
        </w:rPr>
        <w:t xml:space="preserve"> </w:t>
      </w:r>
      <w:proofErr w:type="spellStart"/>
      <w:r w:rsidR="005E4CC7">
        <w:rPr>
          <w:rFonts w:ascii="Arial" w:hAnsi="Arial" w:cs="Arial"/>
          <w:sz w:val="24"/>
          <w:lang w:val="es-CO"/>
        </w:rPr>
        <w:t>Saludcoop</w:t>
      </w:r>
      <w:proofErr w:type="spellEnd"/>
      <w:r w:rsidR="005E4CC7">
        <w:rPr>
          <w:rFonts w:ascii="Arial" w:hAnsi="Arial" w:cs="Arial"/>
          <w:sz w:val="24"/>
          <w:lang w:val="es-CO"/>
        </w:rPr>
        <w:t xml:space="preserve"> (Folios 332 y 335, ídem), trámites en los que se </w:t>
      </w:r>
      <w:r w:rsidR="00E5704D">
        <w:rPr>
          <w:rFonts w:ascii="Arial" w:hAnsi="Arial" w:cs="Arial"/>
          <w:sz w:val="24"/>
          <w:lang w:val="es-CO"/>
        </w:rPr>
        <w:t xml:space="preserve">muestra </w:t>
      </w:r>
      <w:r w:rsidR="00E72BDA">
        <w:rPr>
          <w:rFonts w:ascii="Arial" w:hAnsi="Arial" w:cs="Arial"/>
          <w:sz w:val="24"/>
          <w:lang w:val="es-CO"/>
        </w:rPr>
        <w:t xml:space="preserve">que </w:t>
      </w:r>
      <w:r w:rsidR="005E4CC7">
        <w:rPr>
          <w:rFonts w:ascii="Arial" w:hAnsi="Arial" w:cs="Arial"/>
          <w:sz w:val="24"/>
          <w:lang w:val="es-CO"/>
        </w:rPr>
        <w:t>para la fecha de ese proveído, ya corría</w:t>
      </w:r>
      <w:r w:rsidR="00E72BDA">
        <w:rPr>
          <w:rFonts w:ascii="Arial" w:hAnsi="Arial" w:cs="Arial"/>
          <w:sz w:val="24"/>
          <w:lang w:val="es-CO"/>
        </w:rPr>
        <w:t xml:space="preserve"> por lo menos</w:t>
      </w:r>
      <w:r w:rsidR="00E5704D">
        <w:rPr>
          <w:rFonts w:ascii="Arial" w:hAnsi="Arial" w:cs="Arial"/>
          <w:sz w:val="24"/>
          <w:lang w:val="es-CO"/>
        </w:rPr>
        <w:t>,</w:t>
      </w:r>
      <w:r w:rsidR="00E72BDA">
        <w:rPr>
          <w:rFonts w:ascii="Arial" w:hAnsi="Arial" w:cs="Arial"/>
          <w:sz w:val="24"/>
          <w:lang w:val="es-CO"/>
        </w:rPr>
        <w:t xml:space="preserve"> el </w:t>
      </w:r>
      <w:r w:rsidR="005E4CC7">
        <w:rPr>
          <w:rFonts w:ascii="Arial" w:hAnsi="Arial" w:cs="Arial"/>
          <w:sz w:val="24"/>
          <w:lang w:val="es-CO"/>
        </w:rPr>
        <w:t xml:space="preserve">término de traslado para la primera demandada en cita y para la segunda, </w:t>
      </w:r>
      <w:r w:rsidR="00E72BDA">
        <w:rPr>
          <w:rFonts w:ascii="Arial" w:hAnsi="Arial" w:cs="Arial"/>
          <w:sz w:val="24"/>
          <w:lang w:val="es-CO"/>
        </w:rPr>
        <w:t xml:space="preserve">al parecer, </w:t>
      </w:r>
      <w:r w:rsidR="005E4CC7">
        <w:rPr>
          <w:rFonts w:ascii="Arial" w:hAnsi="Arial" w:cs="Arial"/>
          <w:sz w:val="24"/>
          <w:lang w:val="es-CO"/>
        </w:rPr>
        <w:t>el plazo para comparecer a recibir notificación</w:t>
      </w:r>
      <w:r w:rsidR="00E72BDA">
        <w:rPr>
          <w:rFonts w:ascii="Arial" w:hAnsi="Arial" w:cs="Arial"/>
          <w:sz w:val="24"/>
          <w:lang w:val="es-CO"/>
        </w:rPr>
        <w:t>, cuestión que se ratific</w:t>
      </w:r>
      <w:r w:rsidR="00E5704D">
        <w:rPr>
          <w:rFonts w:ascii="Arial" w:hAnsi="Arial" w:cs="Arial"/>
          <w:sz w:val="24"/>
          <w:lang w:val="es-CO"/>
        </w:rPr>
        <w:t>ó</w:t>
      </w:r>
      <w:r w:rsidR="00E72BDA">
        <w:rPr>
          <w:rFonts w:ascii="Arial" w:hAnsi="Arial" w:cs="Arial"/>
          <w:sz w:val="24"/>
          <w:lang w:val="es-CO"/>
        </w:rPr>
        <w:t xml:space="preserve"> en folio posterior (341, ídem).</w:t>
      </w:r>
    </w:p>
    <w:p w:rsidR="006415A4" w:rsidRDefault="006415A4" w:rsidP="00812E9D">
      <w:pPr>
        <w:pStyle w:val="Sansinterligne"/>
        <w:spacing w:line="360" w:lineRule="auto"/>
        <w:jc w:val="both"/>
        <w:rPr>
          <w:rFonts w:ascii="Arial" w:hAnsi="Arial" w:cs="Arial"/>
          <w:sz w:val="24"/>
          <w:lang w:val="es-CO"/>
        </w:rPr>
      </w:pPr>
    </w:p>
    <w:p w:rsidR="00E72BDA" w:rsidRDefault="00821973" w:rsidP="008E6592">
      <w:pPr>
        <w:pStyle w:val="Sansinterligne"/>
        <w:spacing w:line="360" w:lineRule="auto"/>
        <w:jc w:val="both"/>
        <w:rPr>
          <w:rFonts w:ascii="Arial" w:hAnsi="Arial" w:cs="Arial"/>
          <w:sz w:val="24"/>
          <w:lang w:val="es-CO"/>
        </w:rPr>
      </w:pPr>
      <w:r>
        <w:rPr>
          <w:rFonts w:ascii="Arial" w:hAnsi="Arial" w:cs="Arial"/>
          <w:sz w:val="24"/>
          <w:lang w:val="es-CO"/>
        </w:rPr>
        <w:t xml:space="preserve">Si bien, </w:t>
      </w:r>
      <w:r w:rsidR="00A65DFB">
        <w:rPr>
          <w:rFonts w:ascii="Arial" w:hAnsi="Arial" w:cs="Arial"/>
          <w:sz w:val="24"/>
          <w:lang w:val="es-CO"/>
        </w:rPr>
        <w:t xml:space="preserve">lo desplegado </w:t>
      </w:r>
      <w:r>
        <w:rPr>
          <w:rFonts w:ascii="Arial" w:hAnsi="Arial" w:cs="Arial"/>
          <w:sz w:val="24"/>
          <w:lang w:val="es-CO"/>
        </w:rPr>
        <w:t xml:space="preserve">por los actores, carece de fuerza para estimar que se había cumplido con lo ordenado, </w:t>
      </w:r>
      <w:r w:rsidR="00A65DFB">
        <w:rPr>
          <w:rFonts w:ascii="Arial" w:hAnsi="Arial" w:cs="Arial"/>
          <w:sz w:val="24"/>
          <w:lang w:val="es-CO"/>
        </w:rPr>
        <w:t xml:space="preserve">pues </w:t>
      </w:r>
      <w:r>
        <w:rPr>
          <w:rFonts w:ascii="Arial" w:hAnsi="Arial" w:cs="Arial"/>
          <w:sz w:val="24"/>
          <w:lang w:val="es-CO"/>
        </w:rPr>
        <w:t xml:space="preserve">claramente era practicar las notificaciones y no simplemente adelantar algunas diligencias para tales enteramientos, </w:t>
      </w:r>
      <w:r w:rsidR="004F650A">
        <w:rPr>
          <w:rFonts w:ascii="Arial" w:hAnsi="Arial" w:cs="Arial"/>
          <w:sz w:val="24"/>
          <w:lang w:val="es-CO"/>
        </w:rPr>
        <w:t>lo cierto es que</w:t>
      </w:r>
      <w:r w:rsidR="00A86CE0">
        <w:rPr>
          <w:rFonts w:ascii="Arial" w:hAnsi="Arial" w:cs="Arial"/>
          <w:sz w:val="24"/>
          <w:lang w:val="es-CO"/>
        </w:rPr>
        <w:t>,</w:t>
      </w:r>
      <w:r w:rsidR="004F650A">
        <w:rPr>
          <w:rFonts w:ascii="Arial" w:hAnsi="Arial" w:cs="Arial"/>
          <w:sz w:val="24"/>
          <w:lang w:val="es-CO"/>
        </w:rPr>
        <w:t xml:space="preserve"> al emitir la declaratoria de terminación, se dejó de considerar </w:t>
      </w:r>
      <w:r w:rsidR="00A65DFB">
        <w:rPr>
          <w:rFonts w:ascii="Arial" w:hAnsi="Arial" w:cs="Arial"/>
          <w:sz w:val="24"/>
          <w:lang w:val="es-CO"/>
        </w:rPr>
        <w:t>que los memoriales acercados</w:t>
      </w:r>
      <w:r w:rsidR="004F650A">
        <w:rPr>
          <w:rFonts w:ascii="Arial" w:hAnsi="Arial" w:cs="Arial"/>
          <w:sz w:val="24"/>
          <w:lang w:val="es-CO"/>
        </w:rPr>
        <w:t>, que además muestran interés en que el proceso avance</w:t>
      </w:r>
      <w:r w:rsidR="00672903">
        <w:rPr>
          <w:rFonts w:ascii="Arial" w:hAnsi="Arial" w:cs="Arial"/>
          <w:sz w:val="24"/>
          <w:lang w:val="es-CO"/>
        </w:rPr>
        <w:t>, se refieren expresamente</w:t>
      </w:r>
      <w:r w:rsidR="00A86CE0">
        <w:rPr>
          <w:rFonts w:ascii="Arial" w:hAnsi="Arial" w:cs="Arial"/>
          <w:sz w:val="24"/>
          <w:lang w:val="es-CO"/>
        </w:rPr>
        <w:t xml:space="preserve"> a la carga</w:t>
      </w:r>
      <w:r w:rsidR="00672903">
        <w:rPr>
          <w:rFonts w:ascii="Arial" w:hAnsi="Arial" w:cs="Arial"/>
          <w:sz w:val="24"/>
          <w:lang w:val="es-CO"/>
        </w:rPr>
        <w:t xml:space="preserve"> </w:t>
      </w:r>
      <w:r w:rsidR="00A86CE0">
        <w:rPr>
          <w:rFonts w:ascii="Arial" w:hAnsi="Arial" w:cs="Arial"/>
          <w:sz w:val="24"/>
          <w:lang w:val="es-CO"/>
        </w:rPr>
        <w:t>pendiente</w:t>
      </w:r>
      <w:r w:rsidR="004F650A">
        <w:rPr>
          <w:rFonts w:ascii="Arial" w:hAnsi="Arial" w:cs="Arial"/>
          <w:sz w:val="24"/>
          <w:lang w:val="es-CO"/>
        </w:rPr>
        <w:t xml:space="preserve">, </w:t>
      </w:r>
      <w:r w:rsidR="004F650A" w:rsidRPr="00672903">
        <w:rPr>
          <w:rFonts w:ascii="Arial" w:hAnsi="Arial" w:cs="Arial"/>
          <w:sz w:val="24"/>
          <w:u w:val="single"/>
          <w:lang w:val="es-CO"/>
        </w:rPr>
        <w:t>interrumpieron el término concedido</w:t>
      </w:r>
      <w:r w:rsidR="004F650A">
        <w:rPr>
          <w:rFonts w:ascii="Arial" w:hAnsi="Arial" w:cs="Arial"/>
          <w:sz w:val="24"/>
          <w:lang w:val="es-CO"/>
        </w:rPr>
        <w:t xml:space="preserve">, </w:t>
      </w:r>
      <w:r w:rsidR="00A65DFB">
        <w:rPr>
          <w:rFonts w:ascii="Arial" w:hAnsi="Arial" w:cs="Arial"/>
          <w:sz w:val="24"/>
          <w:lang w:val="es-CO"/>
        </w:rPr>
        <w:t>al tenor de lo dispuesto en el literal c) de la norma</w:t>
      </w:r>
      <w:r w:rsidR="00672903">
        <w:rPr>
          <w:rFonts w:ascii="Arial" w:hAnsi="Arial" w:cs="Arial"/>
          <w:sz w:val="24"/>
          <w:lang w:val="es-CO"/>
        </w:rPr>
        <w:t>,</w:t>
      </w:r>
      <w:r w:rsidR="00A86CE0">
        <w:rPr>
          <w:rFonts w:ascii="Arial" w:hAnsi="Arial" w:cs="Arial"/>
          <w:sz w:val="24"/>
          <w:lang w:val="es-CO"/>
        </w:rPr>
        <w:t xml:space="preserve"> y entonces a la fecha de esa decisión aún no había vencido el plazo. A ello debe sumarse que de </w:t>
      </w:r>
      <w:r w:rsidR="00E5704D">
        <w:rPr>
          <w:rFonts w:ascii="Arial" w:hAnsi="Arial" w:cs="Arial"/>
          <w:sz w:val="24"/>
          <w:lang w:val="es-CO"/>
        </w:rPr>
        <w:t xml:space="preserve">los anexos allegados con el recurso, se advierte que </w:t>
      </w:r>
      <w:r w:rsidR="00672903">
        <w:rPr>
          <w:rFonts w:ascii="Arial" w:hAnsi="Arial" w:cs="Arial"/>
          <w:sz w:val="24"/>
          <w:lang w:val="es-CO"/>
        </w:rPr>
        <w:t xml:space="preserve">para </w:t>
      </w:r>
      <w:r w:rsidR="00E5704D">
        <w:rPr>
          <w:rFonts w:ascii="Arial" w:hAnsi="Arial" w:cs="Arial"/>
          <w:sz w:val="24"/>
          <w:lang w:val="es-CO"/>
        </w:rPr>
        <w:t>los demandados</w:t>
      </w:r>
      <w:r w:rsidR="004F650A">
        <w:rPr>
          <w:rFonts w:ascii="Arial" w:hAnsi="Arial" w:cs="Arial"/>
          <w:sz w:val="24"/>
          <w:lang w:val="es-CO"/>
        </w:rPr>
        <w:t xml:space="preserve"> que aún no comparecían</w:t>
      </w:r>
      <w:r w:rsidR="00E5704D">
        <w:rPr>
          <w:rFonts w:ascii="Arial" w:hAnsi="Arial" w:cs="Arial"/>
          <w:sz w:val="24"/>
          <w:lang w:val="es-CO"/>
        </w:rPr>
        <w:t xml:space="preserve">, </w:t>
      </w:r>
      <w:r w:rsidR="00672903">
        <w:rPr>
          <w:rFonts w:ascii="Arial" w:hAnsi="Arial" w:cs="Arial"/>
          <w:sz w:val="24"/>
          <w:lang w:val="es-CO"/>
        </w:rPr>
        <w:t>c</w:t>
      </w:r>
      <w:r w:rsidR="00E5704D">
        <w:rPr>
          <w:rFonts w:ascii="Arial" w:hAnsi="Arial" w:cs="Arial"/>
          <w:sz w:val="24"/>
          <w:lang w:val="es-CO"/>
        </w:rPr>
        <w:t>orr</w:t>
      </w:r>
      <w:r w:rsidR="00672903">
        <w:rPr>
          <w:rFonts w:ascii="Arial" w:hAnsi="Arial" w:cs="Arial"/>
          <w:sz w:val="24"/>
          <w:lang w:val="es-CO"/>
        </w:rPr>
        <w:t>ían</w:t>
      </w:r>
      <w:r w:rsidR="00E5704D">
        <w:rPr>
          <w:rFonts w:ascii="Arial" w:hAnsi="Arial" w:cs="Arial"/>
          <w:sz w:val="24"/>
          <w:lang w:val="es-CO"/>
        </w:rPr>
        <w:t xml:space="preserve"> </w:t>
      </w:r>
      <w:r w:rsidR="00AB32B9">
        <w:rPr>
          <w:rFonts w:ascii="Arial" w:hAnsi="Arial" w:cs="Arial"/>
          <w:sz w:val="24"/>
          <w:lang w:val="es-CO"/>
        </w:rPr>
        <w:t xml:space="preserve">los respectivos </w:t>
      </w:r>
      <w:r w:rsidR="00E5704D">
        <w:rPr>
          <w:rFonts w:ascii="Arial" w:hAnsi="Arial" w:cs="Arial"/>
          <w:sz w:val="24"/>
          <w:lang w:val="es-CO"/>
        </w:rPr>
        <w:t>términos</w:t>
      </w:r>
      <w:r w:rsidR="004F650A">
        <w:rPr>
          <w:rFonts w:ascii="Arial" w:hAnsi="Arial" w:cs="Arial"/>
          <w:sz w:val="24"/>
          <w:lang w:val="es-CO"/>
        </w:rPr>
        <w:t xml:space="preserve"> </w:t>
      </w:r>
      <w:r w:rsidR="00AB32B9">
        <w:rPr>
          <w:rFonts w:ascii="Arial" w:hAnsi="Arial" w:cs="Arial"/>
          <w:sz w:val="24"/>
          <w:lang w:val="es-CO"/>
        </w:rPr>
        <w:t>(Folios 339 a 342, ib.)</w:t>
      </w:r>
      <w:r w:rsidR="00E5704D">
        <w:rPr>
          <w:rFonts w:ascii="Arial" w:hAnsi="Arial" w:cs="Arial"/>
          <w:sz w:val="24"/>
          <w:lang w:val="es-CO"/>
        </w:rPr>
        <w:t>.</w:t>
      </w:r>
      <w:r w:rsidR="005B4046">
        <w:rPr>
          <w:rFonts w:ascii="Arial" w:hAnsi="Arial" w:cs="Arial"/>
          <w:sz w:val="24"/>
          <w:lang w:val="es-CO"/>
        </w:rPr>
        <w:t xml:space="preserve"> </w:t>
      </w:r>
    </w:p>
    <w:p w:rsidR="008C7AE7" w:rsidRDefault="008C7AE7" w:rsidP="008E6592">
      <w:pPr>
        <w:pStyle w:val="Sansinterligne"/>
        <w:spacing w:line="360" w:lineRule="auto"/>
        <w:jc w:val="both"/>
        <w:rPr>
          <w:rFonts w:ascii="Arial" w:hAnsi="Arial" w:cs="Arial"/>
          <w:sz w:val="24"/>
          <w:lang w:val="es-CO"/>
        </w:rPr>
      </w:pPr>
    </w:p>
    <w:p w:rsidR="00117A8D" w:rsidRPr="001F5B4D" w:rsidRDefault="00117A8D" w:rsidP="00117A8D">
      <w:pPr>
        <w:pStyle w:val="Paragraphedeliste"/>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5509C4" w:rsidRDefault="005509C4" w:rsidP="00117A8D">
      <w:pPr>
        <w:spacing w:line="360" w:lineRule="auto"/>
        <w:jc w:val="both"/>
        <w:rPr>
          <w:rFonts w:ascii="Arial" w:hAnsi="Arial" w:cs="Arial"/>
        </w:rPr>
      </w:pPr>
    </w:p>
    <w:p w:rsidR="00117A8D" w:rsidRDefault="00AE0545" w:rsidP="00117A8D">
      <w:pPr>
        <w:spacing w:line="360" w:lineRule="auto"/>
        <w:jc w:val="both"/>
        <w:rPr>
          <w:rFonts w:ascii="Arial" w:hAnsi="Arial" w:cs="Arial"/>
        </w:rPr>
      </w:pPr>
      <w:r>
        <w:rPr>
          <w:rFonts w:ascii="Arial" w:hAnsi="Arial" w:cs="Arial"/>
        </w:rPr>
        <w:t>En atención a los razonamientos ofrecidos</w:t>
      </w:r>
      <w:r w:rsidR="00AB32B9">
        <w:rPr>
          <w:rFonts w:ascii="Arial" w:hAnsi="Arial" w:cs="Arial"/>
        </w:rPr>
        <w:t>:</w:t>
      </w:r>
      <w:r w:rsidR="00117A8D">
        <w:rPr>
          <w:rFonts w:ascii="Arial" w:hAnsi="Arial" w:cs="Arial"/>
        </w:rPr>
        <w:t xml:space="preserve"> </w:t>
      </w:r>
      <w:r w:rsidR="00535C2F">
        <w:rPr>
          <w:rFonts w:ascii="Arial" w:hAnsi="Arial" w:cs="Arial"/>
        </w:rPr>
        <w:t>(i) S</w:t>
      </w:r>
      <w:r w:rsidR="00994B74">
        <w:rPr>
          <w:rFonts w:ascii="Arial" w:hAnsi="Arial" w:cs="Arial"/>
        </w:rPr>
        <w:t>e revocará la decisión apelada</w:t>
      </w:r>
      <w:r w:rsidR="00A507AB">
        <w:rPr>
          <w:rFonts w:ascii="Arial" w:hAnsi="Arial" w:cs="Arial"/>
        </w:rPr>
        <w:t>, para disponer que se prosiga con la actuación</w:t>
      </w:r>
      <w:r w:rsidR="00AB32B9">
        <w:rPr>
          <w:rFonts w:ascii="Arial" w:hAnsi="Arial" w:cs="Arial"/>
        </w:rPr>
        <w:t>;</w:t>
      </w:r>
      <w:r w:rsidR="00994B74">
        <w:rPr>
          <w:rFonts w:ascii="Arial" w:hAnsi="Arial" w:cs="Arial"/>
        </w:rPr>
        <w:t xml:space="preserve"> </w:t>
      </w:r>
      <w:r w:rsidR="00535C2F">
        <w:rPr>
          <w:rFonts w:ascii="Arial" w:hAnsi="Arial" w:cs="Arial"/>
        </w:rPr>
        <w:t xml:space="preserve">(ii) </w:t>
      </w:r>
      <w:r w:rsidR="00117A8D">
        <w:rPr>
          <w:rFonts w:ascii="Arial" w:hAnsi="Arial" w:cs="Arial"/>
        </w:rPr>
        <w:t>Se a</w:t>
      </w:r>
      <w:r w:rsidR="00117A8D" w:rsidRPr="00336027">
        <w:rPr>
          <w:rFonts w:ascii="Arial" w:hAnsi="Arial" w:cs="Arial"/>
        </w:rPr>
        <w:t>dvertir</w:t>
      </w:r>
      <w:r w:rsidR="00117A8D">
        <w:rPr>
          <w:rFonts w:ascii="Arial" w:hAnsi="Arial" w:cs="Arial"/>
        </w:rPr>
        <w:t>á</w:t>
      </w:r>
      <w:r w:rsidR="00117A8D" w:rsidRPr="00336027">
        <w:rPr>
          <w:rFonts w:ascii="Arial" w:hAnsi="Arial" w:cs="Arial"/>
        </w:rPr>
        <w:t xml:space="preserve"> que</w:t>
      </w:r>
      <w:r w:rsidR="00117A8D">
        <w:rPr>
          <w:rFonts w:ascii="Arial" w:hAnsi="Arial" w:cs="Arial"/>
        </w:rPr>
        <w:t xml:space="preserve"> esta decisión es </w:t>
      </w:r>
      <w:r w:rsidR="00A60E4A">
        <w:rPr>
          <w:rFonts w:ascii="Arial" w:hAnsi="Arial" w:cs="Arial"/>
        </w:rPr>
        <w:t xml:space="preserve">irrecurrible (Artículo </w:t>
      </w:r>
      <w:r w:rsidR="00AB32B9">
        <w:rPr>
          <w:rFonts w:ascii="Arial" w:hAnsi="Arial" w:cs="Arial"/>
        </w:rPr>
        <w:t>35</w:t>
      </w:r>
      <w:r w:rsidR="00A60E4A">
        <w:rPr>
          <w:rFonts w:ascii="Arial" w:hAnsi="Arial" w:cs="Arial"/>
        </w:rPr>
        <w:t>, C</w:t>
      </w:r>
      <w:r w:rsidR="00AB32B9">
        <w:rPr>
          <w:rFonts w:ascii="Arial" w:hAnsi="Arial" w:cs="Arial"/>
        </w:rPr>
        <w:t>GP</w:t>
      </w:r>
      <w:r w:rsidR="00A60E4A">
        <w:rPr>
          <w:rFonts w:ascii="Arial" w:hAnsi="Arial" w:cs="Arial"/>
        </w:rPr>
        <w:t>)</w:t>
      </w:r>
      <w:r w:rsidR="00535C2F">
        <w:rPr>
          <w:rFonts w:ascii="Arial" w:hAnsi="Arial" w:cs="Arial"/>
        </w:rPr>
        <w:t>;</w:t>
      </w:r>
      <w:r w:rsidR="00A60E4A">
        <w:rPr>
          <w:rFonts w:ascii="Arial" w:hAnsi="Arial" w:cs="Arial"/>
        </w:rPr>
        <w:t xml:space="preserve"> </w:t>
      </w:r>
      <w:r w:rsidR="00535C2F">
        <w:rPr>
          <w:rFonts w:ascii="Arial" w:hAnsi="Arial" w:cs="Arial"/>
        </w:rPr>
        <w:t>(iii) S</w:t>
      </w:r>
      <w:r w:rsidR="00117A8D">
        <w:rPr>
          <w:rFonts w:ascii="Arial" w:hAnsi="Arial" w:cs="Arial"/>
        </w:rPr>
        <w:t>e o</w:t>
      </w:r>
      <w:r w:rsidR="00117A8D" w:rsidRPr="00336027">
        <w:rPr>
          <w:rFonts w:ascii="Arial" w:hAnsi="Arial" w:cs="Arial"/>
        </w:rPr>
        <w:t xml:space="preserve">rdenará </w:t>
      </w:r>
      <w:r w:rsidR="00117A8D">
        <w:rPr>
          <w:rFonts w:ascii="Arial" w:hAnsi="Arial" w:cs="Arial"/>
        </w:rPr>
        <w:t>devolver</w:t>
      </w:r>
      <w:r w:rsidR="00117A8D" w:rsidRPr="00336027">
        <w:rPr>
          <w:rFonts w:ascii="Arial" w:hAnsi="Arial" w:cs="Arial"/>
        </w:rPr>
        <w:t xml:space="preserve"> el expediente al juzgado de origen</w:t>
      </w:r>
      <w:r w:rsidR="00AB32B9">
        <w:rPr>
          <w:rFonts w:ascii="Arial" w:hAnsi="Arial" w:cs="Arial"/>
        </w:rPr>
        <w:t xml:space="preserve">; y, </w:t>
      </w:r>
      <w:r w:rsidR="00535C2F">
        <w:rPr>
          <w:rFonts w:ascii="Arial" w:hAnsi="Arial" w:cs="Arial"/>
        </w:rPr>
        <w:t>(iv) No</w:t>
      </w:r>
      <w:r w:rsidR="0007334E">
        <w:rPr>
          <w:rFonts w:ascii="Arial" w:hAnsi="Arial" w:cs="Arial"/>
        </w:rPr>
        <w:t xml:space="preserve"> </w:t>
      </w:r>
      <w:r w:rsidR="00117A8D">
        <w:rPr>
          <w:rFonts w:ascii="Arial" w:hAnsi="Arial" w:cs="Arial"/>
        </w:rPr>
        <w:t xml:space="preserve">se </w:t>
      </w:r>
      <w:r w:rsidR="00117A8D" w:rsidRPr="00531A27">
        <w:rPr>
          <w:rFonts w:ascii="Arial" w:hAnsi="Arial" w:cs="Arial"/>
        </w:rPr>
        <w:t>condena</w:t>
      </w:r>
      <w:r w:rsidR="00117A8D">
        <w:rPr>
          <w:rFonts w:ascii="Arial" w:hAnsi="Arial" w:cs="Arial"/>
        </w:rPr>
        <w:t>r</w:t>
      </w:r>
      <w:r w:rsidR="00117A8D">
        <w:rPr>
          <w:rFonts w:ascii="Arial" w:hAnsi="Arial" w:cs="Arial"/>
          <w:lang w:val="es-CO"/>
        </w:rPr>
        <w:t>á</w:t>
      </w:r>
      <w:r w:rsidR="00117A8D">
        <w:rPr>
          <w:rFonts w:ascii="Arial" w:hAnsi="Arial" w:cs="Arial"/>
        </w:rPr>
        <w:t xml:space="preserve"> </w:t>
      </w:r>
      <w:r w:rsidR="00117A8D" w:rsidRPr="00531A27">
        <w:rPr>
          <w:rFonts w:ascii="Arial" w:hAnsi="Arial" w:cs="Arial"/>
        </w:rPr>
        <w:t>en costas</w:t>
      </w:r>
      <w:r w:rsidR="00117A8D">
        <w:rPr>
          <w:rFonts w:ascii="Arial" w:hAnsi="Arial" w:cs="Arial"/>
        </w:rPr>
        <w:t>,</w:t>
      </w:r>
      <w:r w:rsidR="00117A8D" w:rsidRPr="00531A27">
        <w:rPr>
          <w:rFonts w:ascii="Arial" w:hAnsi="Arial" w:cs="Arial"/>
        </w:rPr>
        <w:t xml:space="preserve"> </w:t>
      </w:r>
      <w:r w:rsidR="00117A8D">
        <w:rPr>
          <w:rFonts w:ascii="Arial" w:hAnsi="Arial" w:cs="Arial"/>
        </w:rPr>
        <w:t xml:space="preserve">en esta </w:t>
      </w:r>
      <w:r w:rsidR="00117A8D" w:rsidRPr="00531A27">
        <w:rPr>
          <w:rFonts w:ascii="Arial" w:hAnsi="Arial" w:cs="Arial"/>
        </w:rPr>
        <w:t>instancia</w:t>
      </w:r>
      <w:r w:rsidR="004E0BF6">
        <w:rPr>
          <w:rFonts w:ascii="Arial" w:hAnsi="Arial" w:cs="Arial"/>
        </w:rPr>
        <w:t>.</w:t>
      </w:r>
    </w:p>
    <w:p w:rsidR="00117A8D" w:rsidRDefault="00117A8D" w:rsidP="00117A8D">
      <w:pPr>
        <w:pStyle w:val="Sansinterligne"/>
        <w:spacing w:line="360" w:lineRule="auto"/>
        <w:jc w:val="both"/>
        <w:rPr>
          <w:rFonts w:ascii="Arial" w:hAnsi="Arial" w:cs="Arial"/>
          <w:sz w:val="24"/>
        </w:rPr>
      </w:pPr>
    </w:p>
    <w:p w:rsidR="00117A8D" w:rsidRPr="00112D32" w:rsidRDefault="00117A8D" w:rsidP="00117A8D">
      <w:pPr>
        <w:tabs>
          <w:tab w:val="left" w:pos="-720"/>
        </w:tabs>
        <w:suppressAutoHyphens/>
        <w:spacing w:line="360" w:lineRule="auto"/>
        <w:jc w:val="both"/>
        <w:rPr>
          <w:rFonts w:ascii="Arial" w:hAnsi="Arial" w:cs="Arial"/>
          <w:spacing w:val="-3"/>
        </w:rPr>
      </w:pPr>
      <w:r w:rsidRPr="00112D32">
        <w:rPr>
          <w:rFonts w:ascii="Arial" w:hAnsi="Arial" w:cs="Arial"/>
        </w:rPr>
        <w:lastRenderedPageBreak/>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Judicial de </w:t>
      </w:r>
      <w:r>
        <w:rPr>
          <w:rFonts w:ascii="Arial" w:hAnsi="Arial" w:cs="Arial"/>
          <w:smallCaps/>
        </w:rPr>
        <w:t>Pereira</w:t>
      </w:r>
      <w:r w:rsidRPr="00112D32">
        <w:rPr>
          <w:rFonts w:ascii="Arial" w:hAnsi="Arial" w:cs="Arial"/>
          <w:smallCaps/>
        </w:rPr>
        <w:t>, Sala</w:t>
      </w:r>
      <w:r>
        <w:rPr>
          <w:rFonts w:ascii="Arial" w:hAnsi="Arial" w:cs="Arial"/>
          <w:smallCaps/>
        </w:rPr>
        <w:t xml:space="preserve"> </w:t>
      </w:r>
      <w:r w:rsidRPr="00112D32">
        <w:rPr>
          <w:rFonts w:ascii="Arial" w:hAnsi="Arial" w:cs="Arial"/>
          <w:smallCaps/>
        </w:rPr>
        <w:t>Unitaria de Decisión</w:t>
      </w:r>
      <w:r w:rsidRPr="00112D32">
        <w:rPr>
          <w:rFonts w:ascii="Arial" w:hAnsi="Arial" w:cs="Arial"/>
        </w:rPr>
        <w:t>,</w:t>
      </w:r>
    </w:p>
    <w:p w:rsidR="00117A8D" w:rsidRPr="00CC04C1" w:rsidRDefault="00117A8D" w:rsidP="00117A8D">
      <w:pPr>
        <w:pStyle w:val="Sansinterligne"/>
        <w:spacing w:line="360" w:lineRule="auto"/>
        <w:jc w:val="center"/>
        <w:rPr>
          <w:rFonts w:ascii="Arial" w:hAnsi="Arial" w:cs="Arial"/>
        </w:rPr>
      </w:pPr>
    </w:p>
    <w:p w:rsidR="00117A8D" w:rsidRDefault="00117A8D" w:rsidP="00117A8D">
      <w:pPr>
        <w:pStyle w:val="Sansinterligne"/>
        <w:spacing w:line="360" w:lineRule="auto"/>
        <w:jc w:val="center"/>
        <w:rPr>
          <w:rFonts w:ascii="Arial" w:hAnsi="Arial" w:cs="Arial"/>
        </w:rPr>
      </w:pPr>
      <w:r w:rsidRPr="00A32C78">
        <w:rPr>
          <w:rFonts w:ascii="Arial" w:hAnsi="Arial" w:cs="Arial"/>
          <w:sz w:val="28"/>
        </w:rPr>
        <w:t xml:space="preserve">R </w:t>
      </w:r>
      <w:r w:rsidRPr="00A32C78">
        <w:rPr>
          <w:rFonts w:ascii="Arial" w:hAnsi="Arial" w:cs="Arial"/>
        </w:rPr>
        <w:t>E S U E L V E,</w:t>
      </w:r>
    </w:p>
    <w:p w:rsidR="00117A8D" w:rsidRPr="00A32C78" w:rsidRDefault="00117A8D" w:rsidP="00117A8D">
      <w:pPr>
        <w:pStyle w:val="Sansinterligne"/>
        <w:spacing w:line="360" w:lineRule="auto"/>
        <w:jc w:val="center"/>
        <w:rPr>
          <w:rFonts w:ascii="Arial" w:hAnsi="Arial" w:cs="Arial"/>
        </w:rPr>
      </w:pPr>
    </w:p>
    <w:p w:rsidR="00117A8D" w:rsidRPr="00CB7E95" w:rsidRDefault="005D79C8" w:rsidP="00CB7E95">
      <w:pPr>
        <w:pStyle w:val="Textopredeterminado"/>
        <w:numPr>
          <w:ilvl w:val="0"/>
          <w:numId w:val="1"/>
        </w:numPr>
        <w:spacing w:line="360" w:lineRule="auto"/>
        <w:jc w:val="both"/>
        <w:rPr>
          <w:rFonts w:ascii="Arial" w:hAnsi="Arial" w:cs="Arial"/>
          <w:szCs w:val="24"/>
        </w:rPr>
      </w:pPr>
      <w:r>
        <w:rPr>
          <w:rFonts w:ascii="Arial" w:hAnsi="Arial" w:cs="Arial"/>
          <w:szCs w:val="24"/>
        </w:rPr>
        <w:t xml:space="preserve">REVOCAR </w:t>
      </w:r>
      <w:r w:rsidR="00117A8D">
        <w:rPr>
          <w:rFonts w:ascii="Arial" w:hAnsi="Arial" w:cs="Arial"/>
          <w:szCs w:val="24"/>
        </w:rPr>
        <w:t xml:space="preserve">el auto </w:t>
      </w:r>
      <w:r w:rsidR="002A2ECB">
        <w:rPr>
          <w:rFonts w:ascii="Arial" w:hAnsi="Arial" w:cs="Arial"/>
          <w:szCs w:val="24"/>
        </w:rPr>
        <w:t>apelado</w:t>
      </w:r>
      <w:r w:rsidR="00DA52A9">
        <w:rPr>
          <w:rFonts w:ascii="Arial" w:hAnsi="Arial" w:cs="Arial"/>
          <w:szCs w:val="24"/>
        </w:rPr>
        <w:t>,</w:t>
      </w:r>
      <w:r w:rsidR="002A2ECB">
        <w:rPr>
          <w:rFonts w:ascii="Arial" w:hAnsi="Arial" w:cs="Arial"/>
          <w:szCs w:val="24"/>
        </w:rPr>
        <w:t xml:space="preserve"> proferido por </w:t>
      </w:r>
      <w:r w:rsidR="00B8384C">
        <w:rPr>
          <w:rFonts w:ascii="Arial" w:hAnsi="Arial" w:cs="Arial"/>
          <w:szCs w:val="24"/>
        </w:rPr>
        <w:t xml:space="preserve">el </w:t>
      </w:r>
      <w:r w:rsidR="00657E40">
        <w:rPr>
          <w:rFonts w:ascii="Arial" w:hAnsi="Arial" w:cs="Arial"/>
          <w:szCs w:val="24"/>
        </w:rPr>
        <w:t xml:space="preserve">Juzgado </w:t>
      </w:r>
      <w:r w:rsidR="00AB32B9">
        <w:rPr>
          <w:rFonts w:ascii="Arial" w:hAnsi="Arial" w:cs="Arial"/>
          <w:szCs w:val="24"/>
        </w:rPr>
        <w:t xml:space="preserve">Segundo </w:t>
      </w:r>
      <w:r w:rsidR="00657E40">
        <w:rPr>
          <w:rFonts w:ascii="Arial" w:hAnsi="Arial" w:cs="Arial"/>
          <w:szCs w:val="24"/>
        </w:rPr>
        <w:t>Civil del Circuito</w:t>
      </w:r>
      <w:r w:rsidR="00B8384C">
        <w:rPr>
          <w:rFonts w:ascii="Arial" w:hAnsi="Arial" w:cs="Arial"/>
          <w:szCs w:val="24"/>
        </w:rPr>
        <w:t xml:space="preserve"> de esta municipalidad</w:t>
      </w:r>
      <w:r w:rsidR="00324E7B">
        <w:rPr>
          <w:rFonts w:ascii="Arial" w:hAnsi="Arial" w:cs="Arial"/>
          <w:szCs w:val="24"/>
        </w:rPr>
        <w:t xml:space="preserve">, </w:t>
      </w:r>
      <w:r w:rsidR="00A75DD5">
        <w:rPr>
          <w:rFonts w:ascii="Arial" w:hAnsi="Arial" w:cs="Arial"/>
          <w:szCs w:val="24"/>
        </w:rPr>
        <w:t xml:space="preserve">para ORDENAR que </w:t>
      </w:r>
      <w:r w:rsidR="00324E7B">
        <w:rPr>
          <w:rFonts w:ascii="Arial" w:hAnsi="Arial" w:cs="Arial"/>
        </w:rPr>
        <w:t>prosiga la actuación</w:t>
      </w:r>
      <w:r w:rsidR="00634843">
        <w:rPr>
          <w:rFonts w:ascii="Arial" w:hAnsi="Arial" w:cs="Arial"/>
        </w:rPr>
        <w:t xml:space="preserve"> procedimental.</w:t>
      </w:r>
    </w:p>
    <w:p w:rsidR="00086C38" w:rsidRDefault="00086C38" w:rsidP="00086C38">
      <w:pPr>
        <w:pStyle w:val="Textopredeterminado"/>
        <w:spacing w:line="360" w:lineRule="auto"/>
        <w:ind w:left="360"/>
        <w:jc w:val="both"/>
        <w:rPr>
          <w:rFonts w:ascii="Arial" w:hAnsi="Arial" w:cs="Arial"/>
          <w:szCs w:val="24"/>
        </w:rPr>
      </w:pPr>
    </w:p>
    <w:p w:rsidR="00117A8D" w:rsidRDefault="002307F0" w:rsidP="00117A8D">
      <w:pPr>
        <w:pStyle w:val="Textopredeterminado"/>
        <w:numPr>
          <w:ilvl w:val="0"/>
          <w:numId w:val="1"/>
        </w:numPr>
        <w:spacing w:line="360" w:lineRule="auto"/>
        <w:jc w:val="both"/>
        <w:rPr>
          <w:rFonts w:ascii="Arial" w:hAnsi="Arial" w:cs="Arial"/>
          <w:szCs w:val="24"/>
        </w:rPr>
      </w:pPr>
      <w:r>
        <w:rPr>
          <w:rFonts w:ascii="Arial" w:hAnsi="Arial" w:cs="Arial"/>
          <w:szCs w:val="24"/>
        </w:rPr>
        <w:t xml:space="preserve">NO </w:t>
      </w:r>
      <w:r w:rsidR="00117A8D">
        <w:rPr>
          <w:rFonts w:ascii="Arial" w:hAnsi="Arial" w:cs="Arial"/>
          <w:szCs w:val="24"/>
        </w:rPr>
        <w:t>CONDENAR en costas</w:t>
      </w:r>
      <w:r>
        <w:rPr>
          <w:rFonts w:ascii="Arial" w:hAnsi="Arial" w:cs="Arial"/>
          <w:szCs w:val="24"/>
        </w:rPr>
        <w:t>, en esta instancia</w:t>
      </w:r>
      <w:r w:rsidR="00117A8D">
        <w:rPr>
          <w:rFonts w:ascii="Arial" w:hAnsi="Arial" w:cs="Arial"/>
          <w:szCs w:val="24"/>
        </w:rPr>
        <w:t>.</w:t>
      </w:r>
    </w:p>
    <w:p w:rsidR="009144F6" w:rsidRDefault="009144F6" w:rsidP="009144F6">
      <w:pPr>
        <w:pStyle w:val="Textopredeterminado"/>
        <w:spacing w:line="360" w:lineRule="auto"/>
        <w:ind w:left="360"/>
        <w:jc w:val="both"/>
        <w:rPr>
          <w:rFonts w:ascii="Arial" w:hAnsi="Arial" w:cs="Arial"/>
          <w:szCs w:val="24"/>
        </w:rPr>
      </w:pPr>
    </w:p>
    <w:p w:rsidR="00117A8D" w:rsidRDefault="00117A8D" w:rsidP="00117A8D">
      <w:pPr>
        <w:pStyle w:val="Textopredeterminado"/>
        <w:numPr>
          <w:ilvl w:val="0"/>
          <w:numId w:val="1"/>
        </w:numPr>
        <w:spacing w:line="360" w:lineRule="auto"/>
        <w:jc w:val="both"/>
        <w:rPr>
          <w:rFonts w:ascii="Arial" w:hAnsi="Arial" w:cs="Arial"/>
          <w:szCs w:val="24"/>
        </w:rPr>
      </w:pPr>
      <w:r w:rsidRPr="00DF51E3">
        <w:rPr>
          <w:rFonts w:ascii="Arial" w:hAnsi="Arial" w:cs="Arial"/>
          <w:szCs w:val="24"/>
        </w:rPr>
        <w:t>ADVERTIR que esta decisión es irrecurrible.</w:t>
      </w:r>
    </w:p>
    <w:p w:rsidR="00117A8D" w:rsidRPr="00EC1AD6" w:rsidRDefault="00117A8D" w:rsidP="00117A8D">
      <w:pPr>
        <w:spacing w:line="360" w:lineRule="auto"/>
        <w:ind w:left="360"/>
        <w:rPr>
          <w:rFonts w:ascii="Arial" w:hAnsi="Arial" w:cs="Arial"/>
        </w:rPr>
      </w:pPr>
    </w:p>
    <w:p w:rsidR="00117A8D" w:rsidRDefault="00117A8D" w:rsidP="00117A8D">
      <w:pPr>
        <w:pStyle w:val="Textopredeterminado"/>
        <w:numPr>
          <w:ilvl w:val="0"/>
          <w:numId w:val="1"/>
        </w:numPr>
        <w:spacing w:line="360" w:lineRule="auto"/>
        <w:jc w:val="both"/>
        <w:rPr>
          <w:rFonts w:ascii="Arial" w:hAnsi="Arial" w:cs="Arial"/>
          <w:szCs w:val="24"/>
        </w:rPr>
      </w:pPr>
      <w:r w:rsidRPr="006B2E6C">
        <w:rPr>
          <w:rFonts w:ascii="Arial" w:hAnsi="Arial" w:cs="Arial"/>
          <w:szCs w:val="24"/>
        </w:rPr>
        <w:t xml:space="preserve">DEVOLVER el expediente al </w:t>
      </w:r>
      <w:r w:rsidR="00657E40">
        <w:rPr>
          <w:rFonts w:ascii="Arial" w:hAnsi="Arial" w:cs="Arial"/>
          <w:szCs w:val="24"/>
        </w:rPr>
        <w:t>Despacho de origen</w:t>
      </w:r>
      <w:r w:rsidR="00C46C9B">
        <w:rPr>
          <w:rFonts w:ascii="Arial" w:hAnsi="Arial" w:cs="Arial"/>
          <w:szCs w:val="24"/>
        </w:rPr>
        <w:t>, por conducto de la Secretaría de esta Corporación.</w:t>
      </w:r>
    </w:p>
    <w:p w:rsidR="005F57E8" w:rsidRPr="00CB0F03" w:rsidRDefault="00356104" w:rsidP="004A7356">
      <w:pPr>
        <w:pStyle w:val="Sansinterligne"/>
        <w:tabs>
          <w:tab w:val="center" w:pos="4845"/>
          <w:tab w:val="left" w:pos="6463"/>
        </w:tabs>
        <w:spacing w:line="360" w:lineRule="auto"/>
        <w:jc w:val="center"/>
        <w:rPr>
          <w:rFonts w:ascii="Arial" w:hAnsi="Arial" w:cs="Arial"/>
          <w:smallCaps/>
          <w:spacing w:val="20"/>
          <w:w w:val="150"/>
          <w:lang w:val="en-US"/>
        </w:rPr>
      </w:pPr>
      <w:proofErr w:type="spellStart"/>
      <w:r w:rsidRPr="00CB0F03">
        <w:rPr>
          <w:rFonts w:ascii="Arial" w:hAnsi="Arial" w:cs="Arial"/>
          <w:smallCaps/>
          <w:sz w:val="28"/>
          <w:lang w:val="en-US"/>
        </w:rPr>
        <w:t>Notifíquese</w:t>
      </w:r>
      <w:proofErr w:type="spellEnd"/>
      <w:r w:rsidRPr="00CB0F03">
        <w:rPr>
          <w:rFonts w:ascii="Arial" w:hAnsi="Arial" w:cs="Arial"/>
          <w:smallCaps/>
          <w:sz w:val="28"/>
          <w:lang w:val="en-US"/>
        </w:rPr>
        <w:t>,</w:t>
      </w:r>
    </w:p>
    <w:p w:rsidR="00B8384C" w:rsidRDefault="00B8384C" w:rsidP="004A7356">
      <w:pPr>
        <w:pStyle w:val="Sansinterligne"/>
        <w:spacing w:line="360" w:lineRule="auto"/>
        <w:jc w:val="center"/>
        <w:rPr>
          <w:rFonts w:ascii="Arial" w:hAnsi="Arial" w:cs="Arial"/>
          <w:spacing w:val="20"/>
          <w:w w:val="150"/>
          <w:sz w:val="24"/>
          <w:szCs w:val="24"/>
          <w:lang w:val="en-US"/>
        </w:rPr>
      </w:pPr>
    </w:p>
    <w:p w:rsidR="00A704F4" w:rsidRDefault="00A704F4" w:rsidP="004A7356">
      <w:pPr>
        <w:pStyle w:val="Sansinterligne"/>
        <w:spacing w:line="360" w:lineRule="auto"/>
        <w:jc w:val="center"/>
        <w:rPr>
          <w:rFonts w:ascii="Arial" w:hAnsi="Arial" w:cs="Arial"/>
          <w:spacing w:val="20"/>
          <w:w w:val="150"/>
          <w:sz w:val="24"/>
          <w:szCs w:val="24"/>
          <w:lang w:val="en-US"/>
        </w:rPr>
      </w:pPr>
    </w:p>
    <w:p w:rsidR="00B8384C" w:rsidRDefault="00B8384C" w:rsidP="004A7356">
      <w:pPr>
        <w:pStyle w:val="Sansinterligne"/>
        <w:spacing w:line="360" w:lineRule="auto"/>
        <w:jc w:val="center"/>
        <w:rPr>
          <w:rFonts w:ascii="Arial" w:hAnsi="Arial" w:cs="Arial"/>
          <w:spacing w:val="20"/>
          <w:w w:val="150"/>
          <w:sz w:val="24"/>
          <w:szCs w:val="24"/>
          <w:lang w:val="en-US"/>
        </w:rPr>
      </w:pPr>
    </w:p>
    <w:p w:rsidR="00412B9B" w:rsidRPr="00AF060A" w:rsidRDefault="00412B9B" w:rsidP="000C0B10">
      <w:pPr>
        <w:pStyle w:val="Corpsdetexte"/>
        <w:spacing w:line="360" w:lineRule="auto"/>
        <w:jc w:val="center"/>
        <w:rPr>
          <w:rFonts w:ascii="Arial" w:hAnsi="Arial"/>
          <w:w w:val="150"/>
          <w:sz w:val="20"/>
          <w:lang w:val="en-US"/>
        </w:rPr>
      </w:pPr>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412B9B" w:rsidRDefault="00412B9B" w:rsidP="000C0B10">
      <w:pPr>
        <w:pStyle w:val="Corpsdetexte"/>
        <w:spacing w:line="360" w:lineRule="auto"/>
        <w:jc w:val="center"/>
        <w:rPr>
          <w:rFonts w:ascii="Arial" w:hAnsi="Arial"/>
          <w:w w:val="150"/>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AB32B9" w:rsidRPr="00A069C1" w:rsidRDefault="00AB32B9" w:rsidP="00AB32B9">
      <w:pPr>
        <w:pStyle w:val="Corpsdetexte"/>
        <w:spacing w:line="360" w:lineRule="auto"/>
        <w:jc w:val="right"/>
        <w:rPr>
          <w:rFonts w:ascii="Arial" w:hAnsi="Arial"/>
          <w:i/>
          <w:w w:val="150"/>
          <w:sz w:val="10"/>
          <w:szCs w:val="12"/>
          <w:lang w:val="en-GB"/>
        </w:rPr>
      </w:pPr>
      <w:r w:rsidRPr="00AF060A">
        <w:rPr>
          <w:rFonts w:ascii="Arial" w:hAnsi="Arial"/>
          <w:i/>
          <w:w w:val="150"/>
          <w:sz w:val="10"/>
          <w:szCs w:val="12"/>
          <w:lang w:val="en-GB"/>
        </w:rPr>
        <w:t>DGH /</w:t>
      </w:r>
      <w:r>
        <w:rPr>
          <w:rFonts w:ascii="Arial" w:hAnsi="Arial"/>
          <w:i/>
          <w:w w:val="150"/>
          <w:sz w:val="10"/>
          <w:szCs w:val="12"/>
          <w:lang w:val="en-GB"/>
        </w:rPr>
        <w:t xml:space="preserve"> DGD / 2017</w:t>
      </w:r>
    </w:p>
    <w:p w:rsidR="00AB32B9" w:rsidRPr="00AF060A" w:rsidRDefault="00AB32B9" w:rsidP="000C0B10">
      <w:pPr>
        <w:pStyle w:val="Corpsdetexte"/>
        <w:spacing w:line="360" w:lineRule="auto"/>
        <w:jc w:val="center"/>
        <w:rPr>
          <w:rFonts w:ascii="Arial" w:hAnsi="Arial"/>
          <w:sz w:val="18"/>
          <w:lang w:val="en-US"/>
        </w:rPr>
      </w:pPr>
      <w:r w:rsidRPr="002A2405">
        <w:rPr>
          <w:noProof/>
          <w:lang w:val="fr-FR" w:eastAsia="fr-FR"/>
        </w:rPr>
        <mc:AlternateContent>
          <mc:Choice Requires="wps">
            <w:drawing>
              <wp:anchor distT="0" distB="0" distL="114300" distR="114300" simplePos="0" relativeHeight="251661312" behindDoc="0" locked="0" layoutInCell="1" allowOverlap="1" wp14:anchorId="04165402" wp14:editId="67A193DC">
                <wp:simplePos x="0" y="0"/>
                <wp:positionH relativeFrom="margin">
                  <wp:posOffset>1515534</wp:posOffset>
                </wp:positionH>
                <wp:positionV relativeFrom="paragraph">
                  <wp:posOffset>103717</wp:posOffset>
                </wp:positionV>
                <wp:extent cx="2578735" cy="1304925"/>
                <wp:effectExtent l="19050" t="19050" r="12065" b="2857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735" cy="1304925"/>
                        </a:xfrm>
                        <a:prstGeom prst="rect">
                          <a:avLst/>
                        </a:prstGeom>
                        <a:solidFill>
                          <a:srgbClr val="FFFFFF"/>
                        </a:solidFill>
                        <a:ln w="28575" cmpd="thickThin">
                          <a:solidFill>
                            <a:srgbClr val="000000"/>
                          </a:solidFill>
                          <a:miter lim="800000"/>
                          <a:headEnd/>
                          <a:tailEnd/>
                        </a:ln>
                      </wps:spPr>
                      <wps:txbx>
                        <w:txbxContent>
                          <w:p w:rsidR="00AB32B9" w:rsidRPr="002A5DF7" w:rsidRDefault="00AB32B9" w:rsidP="00AB32B9">
                            <w:pPr>
                              <w:pStyle w:val="Sansinterligne"/>
                              <w:jc w:val="center"/>
                              <w:rPr>
                                <w:rFonts w:ascii="Kalinga" w:hAnsi="Kalinga" w:cs="Kalinga"/>
                                <w:sz w:val="20"/>
                                <w:szCs w:val="20"/>
                              </w:rPr>
                            </w:pPr>
                            <w:r w:rsidRPr="002A5DF7">
                              <w:rPr>
                                <w:rFonts w:ascii="Kalinga" w:hAnsi="Kalinga" w:cs="Kalinga"/>
                                <w:sz w:val="20"/>
                                <w:szCs w:val="20"/>
                              </w:rPr>
                              <w:t xml:space="preserve">LA PROVIDENCIA ANTERIOR </w:t>
                            </w:r>
                          </w:p>
                          <w:p w:rsidR="00AB32B9" w:rsidRPr="002A5DF7" w:rsidRDefault="00AB32B9" w:rsidP="00AB32B9">
                            <w:pPr>
                              <w:pStyle w:val="Sansinterligne"/>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AB32B9" w:rsidRPr="002A5DF7" w:rsidRDefault="00AB32B9" w:rsidP="00AB32B9">
                            <w:pPr>
                              <w:jc w:val="center"/>
                              <w:rPr>
                                <w:rFonts w:ascii="Kalinga" w:hAnsi="Kalinga" w:cs="Kalinga"/>
                                <w:color w:val="000000"/>
                                <w:sz w:val="20"/>
                                <w:szCs w:val="20"/>
                              </w:rPr>
                            </w:pPr>
                          </w:p>
                          <w:p w:rsidR="00AB32B9" w:rsidRPr="002A5DF7" w:rsidRDefault="00AB32B9" w:rsidP="00AB32B9">
                            <w:pPr>
                              <w:jc w:val="center"/>
                              <w:rPr>
                                <w:rFonts w:ascii="Kalinga" w:hAnsi="Kalinga" w:cs="Kalinga"/>
                                <w:color w:val="000000"/>
                                <w:sz w:val="20"/>
                                <w:szCs w:val="20"/>
                              </w:rPr>
                            </w:pPr>
                          </w:p>
                          <w:p w:rsidR="00AB32B9" w:rsidRPr="002A5DF7" w:rsidRDefault="00AB32B9" w:rsidP="00AB32B9">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AB32B9" w:rsidRPr="002A5DF7" w:rsidRDefault="00AB32B9" w:rsidP="00AB32B9">
                            <w:pPr>
                              <w:pStyle w:val="Sansinterligne"/>
                              <w:jc w:val="center"/>
                              <w:rPr>
                                <w:rFonts w:ascii="Kalinga" w:hAnsi="Kalinga" w:cs="Kalinga"/>
                                <w:sz w:val="18"/>
                                <w:szCs w:val="20"/>
                              </w:rPr>
                            </w:pPr>
                            <w:r w:rsidRPr="002A5DF7">
                              <w:rPr>
                                <w:rFonts w:ascii="Kalinga" w:hAnsi="Kalinga" w:cs="Kalinga"/>
                                <w:sz w:val="18"/>
                                <w:szCs w:val="20"/>
                              </w:rPr>
                              <w:t>S E C R E T A R I O</w:t>
                            </w:r>
                          </w:p>
                          <w:p w:rsidR="00AB32B9" w:rsidRPr="00AC087B" w:rsidRDefault="00AB32B9" w:rsidP="00AB32B9">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165402" id="Rectangle 7" o:spid="_x0000_s1026" style="position:absolute;left:0;text-align:left;margin-left:119.35pt;margin-top:8.15pt;width:203.05pt;height:10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" strokeweight="2.25pt">
                <v:stroke linestyle="thickThin"/>
                <v:textbox>
                  <w:txbxContent>
                    <w:p w:rsidR="00AB32B9" w:rsidRPr="002A5DF7" w:rsidRDefault="00AB32B9" w:rsidP="00AB32B9">
                      <w:pPr>
                        <w:pStyle w:val="Sinespaciado"/>
                        <w:jc w:val="center"/>
                        <w:rPr>
                          <w:rFonts w:ascii="Kalinga" w:hAnsi="Kalinga" w:cs="Kalinga"/>
                          <w:sz w:val="20"/>
                          <w:szCs w:val="20"/>
                        </w:rPr>
                      </w:pPr>
                      <w:r w:rsidRPr="002A5DF7">
                        <w:rPr>
                          <w:rFonts w:ascii="Kalinga" w:hAnsi="Kalinga" w:cs="Kalinga"/>
                          <w:sz w:val="20"/>
                          <w:szCs w:val="20"/>
                        </w:rPr>
                        <w:t xml:space="preserve">LA PROVIDENCIA ANTERIOR </w:t>
                      </w:r>
                    </w:p>
                    <w:p w:rsidR="00AB32B9" w:rsidRPr="002A5DF7" w:rsidRDefault="00AB32B9" w:rsidP="00AB32B9">
                      <w:pPr>
                        <w:pStyle w:val="Sinespaciado"/>
                        <w:jc w:val="center"/>
                        <w:rPr>
                          <w:rFonts w:ascii="Kalinga" w:hAnsi="Kalinga" w:cs="Kalinga"/>
                          <w:color w:val="000000"/>
                          <w:sz w:val="20"/>
                          <w:szCs w:val="20"/>
                        </w:rPr>
                      </w:pPr>
                      <w:r w:rsidRPr="002A5DF7">
                        <w:rPr>
                          <w:rFonts w:ascii="Kalinga" w:hAnsi="Kalinga" w:cs="Kalinga"/>
                          <w:sz w:val="20"/>
                          <w:szCs w:val="20"/>
                        </w:rPr>
                        <w:t xml:space="preserve">SE NOTIFICA POR ESTADO DEL DÍA </w:t>
                      </w:r>
                    </w:p>
                    <w:p w:rsidR="00AB32B9" w:rsidRPr="002A5DF7" w:rsidRDefault="00AB32B9" w:rsidP="00AB32B9">
                      <w:pPr>
                        <w:jc w:val="center"/>
                        <w:rPr>
                          <w:rFonts w:ascii="Kalinga" w:hAnsi="Kalinga" w:cs="Kalinga"/>
                          <w:color w:val="000000"/>
                          <w:sz w:val="20"/>
                          <w:szCs w:val="20"/>
                        </w:rPr>
                      </w:pPr>
                    </w:p>
                    <w:p w:rsidR="00AB32B9" w:rsidRPr="002A5DF7" w:rsidRDefault="00AB32B9" w:rsidP="00AB32B9">
                      <w:pPr>
                        <w:jc w:val="center"/>
                        <w:rPr>
                          <w:rFonts w:ascii="Kalinga" w:hAnsi="Kalinga" w:cs="Kalinga"/>
                          <w:color w:val="000000"/>
                          <w:sz w:val="20"/>
                          <w:szCs w:val="20"/>
                        </w:rPr>
                      </w:pPr>
                    </w:p>
                    <w:p w:rsidR="00AB32B9" w:rsidRPr="002A5DF7" w:rsidRDefault="00AB32B9" w:rsidP="00AB32B9">
                      <w:pPr>
                        <w:jc w:val="center"/>
                        <w:rPr>
                          <w:rFonts w:ascii="Kalinga" w:hAnsi="Kalinga" w:cs="Kalinga"/>
                          <w:color w:val="000000"/>
                          <w:sz w:val="20"/>
                          <w:szCs w:val="20"/>
                        </w:rPr>
                      </w:pPr>
                      <w:r w:rsidRPr="002A5DF7">
                        <w:rPr>
                          <w:rFonts w:ascii="Kalinga" w:hAnsi="Kalinga" w:cs="Kalinga"/>
                          <w:color w:val="000000"/>
                          <w:sz w:val="20"/>
                          <w:szCs w:val="20"/>
                        </w:rPr>
                        <w:t>JAÍR DE JESÚS HENAO MOLINA</w:t>
                      </w:r>
                    </w:p>
                    <w:p w:rsidR="00AB32B9" w:rsidRPr="002A5DF7" w:rsidRDefault="00AB32B9" w:rsidP="00AB32B9">
                      <w:pPr>
                        <w:pStyle w:val="Sinespaciado"/>
                        <w:jc w:val="center"/>
                        <w:rPr>
                          <w:rFonts w:ascii="Kalinga" w:hAnsi="Kalinga" w:cs="Kalinga"/>
                          <w:sz w:val="18"/>
                          <w:szCs w:val="20"/>
                        </w:rPr>
                      </w:pPr>
                      <w:r w:rsidRPr="002A5DF7">
                        <w:rPr>
                          <w:rFonts w:ascii="Kalinga" w:hAnsi="Kalinga" w:cs="Kalinga"/>
                          <w:sz w:val="18"/>
                          <w:szCs w:val="20"/>
                        </w:rPr>
                        <w:t>S E C R E T A R I O</w:t>
                      </w:r>
                    </w:p>
                    <w:p w:rsidR="00AB32B9" w:rsidRPr="00AC087B" w:rsidRDefault="00AB32B9" w:rsidP="00AB32B9">
                      <w:pPr>
                        <w:jc w:val="center"/>
                        <w:rPr>
                          <w:rFonts w:ascii="Kalinga" w:hAnsi="Kalinga" w:cs="Kalinga"/>
                          <w:sz w:val="22"/>
                          <w:szCs w:val="22"/>
                        </w:rPr>
                      </w:pPr>
                    </w:p>
                  </w:txbxContent>
                </v:textbox>
                <w10:wrap anchorx="margin"/>
              </v:rect>
            </w:pict>
          </mc:Fallback>
        </mc:AlternateContent>
      </w:r>
      <w:bookmarkStart w:id="0" w:name="_GoBack"/>
      <w:bookmarkEnd w:id="0"/>
    </w:p>
    <w:sectPr w:rsidR="00AB32B9" w:rsidRPr="00AF060A" w:rsidSect="007D3015">
      <w:headerReference w:type="even" r:id="rId10"/>
      <w:headerReference w:type="default" r:id="rId11"/>
      <w:footerReference w:type="default" r:id="rId12"/>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BF" w:rsidRDefault="001C0EBF" w:rsidP="004D2025">
      <w:r>
        <w:separator/>
      </w:r>
    </w:p>
  </w:endnote>
  <w:endnote w:type="continuationSeparator" w:id="0">
    <w:p w:rsidR="001C0EBF" w:rsidRDefault="001C0EBF"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Kalinga">
    <w:altName w:val="Gadugi"/>
    <w:panose1 w:val="020B0502040204020203"/>
    <w:charset w:val="00"/>
    <w:family w:val="swiss"/>
    <w:pitch w:val="variable"/>
    <w:sig w:usb0="00000003" w:usb1="00000000" w:usb2="00000000" w:usb3="00000000" w:csb0="00000001" w:csb1="00000000"/>
  </w:font>
  <w:font w:name="Dotum">
    <w:altName w:val="Arial Unicode MS"/>
    <w:panose1 w:val="020B0600000101010101"/>
    <w:charset w:val="81"/>
    <w:family w:val="modern"/>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9EE" w:rsidRDefault="00E419EE" w:rsidP="00E419EE">
    <w:pPr>
      <w:pStyle w:val="Pieddepage"/>
      <w:pBdr>
        <w:bottom w:val="double" w:sz="6" w:space="1" w:color="auto"/>
      </w:pBdr>
      <w:spacing w:line="360" w:lineRule="auto"/>
      <w:jc w:val="right"/>
      <w:rPr>
        <w:rFonts w:ascii="Arial" w:hAnsi="Arial" w:cs="Arial"/>
        <w:spacing w:val="20"/>
        <w:w w:val="200"/>
        <w:sz w:val="14"/>
        <w:szCs w:val="10"/>
        <w:lang w:val="es-CO"/>
      </w:rPr>
    </w:pPr>
  </w:p>
  <w:p w:rsidR="00E419EE" w:rsidRDefault="00E419EE" w:rsidP="00E419EE">
    <w:pPr>
      <w:pStyle w:val="Pieddepage"/>
      <w:spacing w:line="360" w:lineRule="auto"/>
      <w:jc w:val="right"/>
      <w:rPr>
        <w:rFonts w:ascii="Arial" w:hAnsi="Arial" w:cs="Arial"/>
        <w:spacing w:val="20"/>
        <w:w w:val="200"/>
        <w:sz w:val="14"/>
        <w:szCs w:val="10"/>
        <w:lang w:val="es-CO"/>
      </w:rPr>
    </w:pPr>
  </w:p>
  <w:p w:rsidR="00E419EE" w:rsidRPr="00B817BB" w:rsidRDefault="00E419EE" w:rsidP="00A0733C">
    <w:pPr>
      <w:pStyle w:val="Pieddepage"/>
      <w:tabs>
        <w:tab w:val="left" w:pos="1071"/>
        <w:tab w:val="right" w:pos="9407"/>
      </w:tabs>
      <w:spacing w:line="360" w:lineRule="auto"/>
      <w:jc w:val="right"/>
      <w:rPr>
        <w:rFonts w:ascii="Arial" w:hAnsi="Arial" w:cs="Arial"/>
        <w:i/>
        <w:spacing w:val="20"/>
        <w:w w:val="200"/>
        <w:sz w:val="10"/>
        <w:szCs w:val="10"/>
        <w:lang w:val="es-CO"/>
      </w:rPr>
    </w:pPr>
    <w:r w:rsidRPr="00B817BB">
      <w:rPr>
        <w:rFonts w:ascii="Arial" w:hAnsi="Arial" w:cs="Arial"/>
        <w:i/>
        <w:spacing w:val="20"/>
        <w:w w:val="200"/>
        <w:sz w:val="14"/>
        <w:szCs w:val="10"/>
        <w:lang w:val="es-CO"/>
      </w:rPr>
      <w:t>T</w:t>
    </w:r>
    <w:r w:rsidRPr="00B817BB">
      <w:rPr>
        <w:rFonts w:ascii="Arial" w:hAnsi="Arial" w:cs="Arial"/>
        <w:i/>
        <w:spacing w:val="20"/>
        <w:w w:val="200"/>
        <w:sz w:val="10"/>
        <w:szCs w:val="10"/>
        <w:lang w:val="es-CO"/>
      </w:rPr>
      <w:t xml:space="preserve">RIBUNAL </w:t>
    </w:r>
    <w:r w:rsidRPr="00B817BB">
      <w:rPr>
        <w:rFonts w:ascii="Arial" w:hAnsi="Arial" w:cs="Arial"/>
        <w:i/>
        <w:spacing w:val="20"/>
        <w:w w:val="200"/>
        <w:sz w:val="14"/>
        <w:szCs w:val="10"/>
        <w:lang w:val="es-CO"/>
      </w:rPr>
      <w:t>S</w:t>
    </w:r>
    <w:r w:rsidRPr="00B817BB">
      <w:rPr>
        <w:rFonts w:ascii="Arial" w:hAnsi="Arial" w:cs="Arial"/>
        <w:i/>
        <w:spacing w:val="20"/>
        <w:w w:val="200"/>
        <w:sz w:val="10"/>
        <w:szCs w:val="10"/>
        <w:lang w:val="es-CO"/>
      </w:rPr>
      <w:t xml:space="preserve">UPERIOR DE </w:t>
    </w:r>
    <w:r w:rsidRPr="00B817BB">
      <w:rPr>
        <w:rFonts w:ascii="Arial" w:hAnsi="Arial" w:cs="Arial"/>
        <w:i/>
        <w:spacing w:val="20"/>
        <w:w w:val="200"/>
        <w:sz w:val="14"/>
        <w:szCs w:val="10"/>
        <w:lang w:val="es-CO"/>
      </w:rPr>
      <w:t>P</w:t>
    </w:r>
    <w:r w:rsidRPr="00B817BB">
      <w:rPr>
        <w:rFonts w:ascii="Arial" w:hAnsi="Arial" w:cs="Arial"/>
        <w:i/>
        <w:spacing w:val="20"/>
        <w:w w:val="200"/>
        <w:sz w:val="10"/>
        <w:szCs w:val="10"/>
        <w:lang w:val="es-CO"/>
      </w:rPr>
      <w:t>EREIRA</w:t>
    </w:r>
  </w:p>
  <w:p w:rsidR="00441A24" w:rsidRPr="00AF060A" w:rsidRDefault="00E419EE" w:rsidP="00AF060A">
    <w:pPr>
      <w:pStyle w:val="Pieddepage"/>
      <w:jc w:val="right"/>
      <w:rPr>
        <w:i/>
      </w:rPr>
    </w:pPr>
    <w:r w:rsidRPr="00B817BB">
      <w:rPr>
        <w:rFonts w:ascii="Arial" w:hAnsi="Arial" w:cs="Arial"/>
        <w:i/>
        <w:spacing w:val="20"/>
        <w:w w:val="200"/>
        <w:sz w:val="10"/>
        <w:szCs w:val="10"/>
      </w:rPr>
      <w:t>M</w:t>
    </w:r>
    <w:r w:rsidR="00D960DB" w:rsidRPr="00B817BB">
      <w:rPr>
        <w:rFonts w:ascii="Arial" w:hAnsi="Arial" w:cs="Arial"/>
        <w:i/>
        <w:spacing w:val="20"/>
        <w:w w:val="200"/>
        <w:sz w:val="10"/>
        <w:szCs w:val="10"/>
      </w:rPr>
      <w:t>S</w:t>
    </w:r>
    <w:r w:rsidRPr="00B817BB">
      <w:rPr>
        <w:rFonts w:ascii="Arial" w:hAnsi="Arial" w:cs="Arial"/>
        <w:i/>
        <w:spacing w:val="20"/>
        <w:w w:val="200"/>
        <w:sz w:val="10"/>
        <w:szCs w:val="10"/>
      </w:rPr>
      <w:t xml:space="preserve"> </w:t>
    </w:r>
    <w:r w:rsidRPr="00B817BB">
      <w:rPr>
        <w:rFonts w:ascii="Arial" w:hAnsi="Arial" w:cs="Arial"/>
        <w:i/>
        <w:spacing w:val="20"/>
        <w:w w:val="200"/>
        <w:sz w:val="12"/>
        <w:szCs w:val="10"/>
      </w:rPr>
      <w:t>D</w:t>
    </w:r>
    <w:r w:rsidRPr="00B817BB">
      <w:rPr>
        <w:rFonts w:ascii="Arial" w:hAnsi="Arial" w:cs="Arial"/>
        <w:i/>
        <w:spacing w:val="20"/>
        <w:w w:val="200"/>
        <w:sz w:val="8"/>
        <w:szCs w:val="10"/>
      </w:rPr>
      <w:t xml:space="preserve">UBERNEY </w:t>
    </w:r>
    <w:r w:rsidRPr="00B817BB">
      <w:rPr>
        <w:rFonts w:ascii="Arial" w:hAnsi="Arial" w:cs="Arial"/>
        <w:i/>
        <w:spacing w:val="20"/>
        <w:w w:val="200"/>
        <w:sz w:val="12"/>
        <w:szCs w:val="10"/>
      </w:rPr>
      <w:t>G</w:t>
    </w:r>
    <w:r w:rsidRPr="00B817BB">
      <w:rPr>
        <w:rFonts w:ascii="Arial" w:hAnsi="Arial" w:cs="Arial"/>
        <w:i/>
        <w:spacing w:val="20"/>
        <w:w w:val="200"/>
        <w:sz w:val="8"/>
        <w:szCs w:val="10"/>
      </w:rPr>
      <w:t xml:space="preserve">RISALES </w:t>
    </w:r>
    <w:r w:rsidRPr="00B817BB">
      <w:rPr>
        <w:rFonts w:ascii="Arial" w:hAnsi="Arial" w:cs="Arial"/>
        <w:i/>
        <w:spacing w:val="20"/>
        <w:w w:val="200"/>
        <w:sz w:val="12"/>
        <w:szCs w:val="10"/>
      </w:rPr>
      <w:t>H</w:t>
    </w:r>
    <w:r w:rsidRPr="00B817BB">
      <w:rPr>
        <w:rFonts w:ascii="Arial" w:hAnsi="Arial"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BF" w:rsidRDefault="001C0EBF" w:rsidP="004D2025">
      <w:r>
        <w:separator/>
      </w:r>
    </w:p>
  </w:footnote>
  <w:footnote w:type="continuationSeparator" w:id="0">
    <w:p w:rsidR="001C0EBF" w:rsidRDefault="001C0EBF" w:rsidP="004D2025">
      <w:r>
        <w:continuationSeparator/>
      </w:r>
    </w:p>
  </w:footnote>
  <w:footnote w:id="1">
    <w:p w:rsidR="00BA4602" w:rsidRPr="00121FF5" w:rsidRDefault="00BA4602" w:rsidP="00BA4602">
      <w:pPr>
        <w:pStyle w:val="Notedebasdepage"/>
        <w:jc w:val="both"/>
      </w:pPr>
      <w:r w:rsidRPr="00121FF5">
        <w:rPr>
          <w:rFonts w:ascii="Calibri" w:hAnsi="Calibri" w:cs="Calibri"/>
          <w:vertAlign w:val="superscript"/>
        </w:rPr>
        <w:footnoteRef/>
      </w:r>
      <w:r w:rsidRPr="00121FF5">
        <w:rPr>
          <w:rFonts w:ascii="Calibri" w:hAnsi="Calibri" w:cs="Calibri"/>
        </w:rPr>
        <w:t xml:space="preserve"> </w:t>
      </w:r>
      <w:r w:rsidRPr="00121FF5">
        <w:rPr>
          <w:rFonts w:asciiTheme="minorHAnsi" w:hAnsiTheme="minorHAnsi" w:cs="Calibri"/>
          <w:lang w:val="es-CO"/>
        </w:rPr>
        <w:t>LÓPEZ B., Hernán F. Código General del Pr</w:t>
      </w:r>
      <w:r>
        <w:rPr>
          <w:rFonts w:asciiTheme="minorHAnsi" w:hAnsiTheme="minorHAnsi" w:cs="Calibri"/>
          <w:lang w:val="es-CO"/>
        </w:rPr>
        <w:t xml:space="preserve">oceso, Bogotá DC, </w:t>
      </w:r>
      <w:proofErr w:type="spellStart"/>
      <w:r>
        <w:rPr>
          <w:rFonts w:asciiTheme="minorHAnsi" w:hAnsiTheme="minorHAnsi" w:cs="Calibri"/>
          <w:lang w:val="es-CO"/>
        </w:rPr>
        <w:t>Dupré</w:t>
      </w:r>
      <w:proofErr w:type="spellEnd"/>
      <w:r w:rsidRPr="00121FF5">
        <w:rPr>
          <w:rFonts w:asciiTheme="minorHAnsi" w:hAnsiTheme="minorHAnsi" w:cs="Calibri"/>
          <w:lang w:val="es-CO"/>
        </w:rPr>
        <w:t xml:space="preserve">, 2016, </w:t>
      </w:r>
      <w:proofErr w:type="spellStart"/>
      <w:r w:rsidRPr="00121FF5">
        <w:rPr>
          <w:rFonts w:asciiTheme="minorHAnsi" w:hAnsiTheme="minorHAnsi" w:cs="Calibri"/>
          <w:lang w:val="es-CO"/>
        </w:rPr>
        <w:t>p.769</w:t>
      </w:r>
      <w:proofErr w:type="spellEnd"/>
      <w:r w:rsidRPr="00121FF5">
        <w:rPr>
          <w:rFonts w:asciiTheme="minorHAnsi" w:hAnsiTheme="minorHAnsi" w:cs="Calibri"/>
          <w:lang w:val="es-CO"/>
        </w:rPr>
        <w:t>-776</w:t>
      </w:r>
      <w:r w:rsidRPr="00121FF5">
        <w:rPr>
          <w:rFonts w:ascii="Calibri" w:hAnsi="Calibri" w:cs="Calibri"/>
        </w:rPr>
        <w:t>.</w:t>
      </w:r>
    </w:p>
  </w:footnote>
  <w:footnote w:id="2">
    <w:p w:rsidR="00BA4602" w:rsidRPr="00121FF5" w:rsidRDefault="00BA4602" w:rsidP="00BA4602">
      <w:pPr>
        <w:pStyle w:val="Notedebasdepage"/>
        <w:jc w:val="both"/>
      </w:pPr>
      <w:r w:rsidRPr="00121FF5">
        <w:rPr>
          <w:rFonts w:ascii="Calibri" w:hAnsi="Calibri" w:cs="Calibri"/>
          <w:vertAlign w:val="superscript"/>
        </w:rPr>
        <w:footnoteRef/>
      </w:r>
      <w:r w:rsidRPr="00121FF5">
        <w:rPr>
          <w:rFonts w:ascii="Calibri" w:hAnsi="Calibri" w:cs="Calibri"/>
        </w:rPr>
        <w:t xml:space="preserve"> PARRA Q., Jairo. Derecho procesal civil, tomo I, Santafé de Bogotá DC, Temis, 1992, p.276.</w:t>
      </w:r>
    </w:p>
  </w:footnote>
  <w:footnote w:id="3">
    <w:p w:rsidR="00B1277B" w:rsidRPr="007D0DBC" w:rsidRDefault="00B1277B" w:rsidP="00B1277B">
      <w:pPr>
        <w:pStyle w:val="Sansinterligne"/>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121FF5">
        <w:rPr>
          <w:rFonts w:asciiTheme="minorHAnsi" w:hAnsiTheme="minorHAnsi" w:cs="Calibri"/>
          <w:sz w:val="20"/>
          <w:szCs w:val="20"/>
          <w:lang w:val="es-CO"/>
        </w:rPr>
        <w:t>LÓPEZ B., Hernán F.</w:t>
      </w:r>
      <w:r w:rsidRPr="007D0DBC">
        <w:rPr>
          <w:rFonts w:asciiTheme="minorHAnsi" w:hAnsiTheme="minorHAnsi" w:cs="Calibri"/>
          <w:sz w:val="20"/>
          <w:szCs w:val="20"/>
        </w:rPr>
        <w:t xml:space="preserve"> Ob. cit., p.746.</w:t>
      </w:r>
    </w:p>
  </w:footnote>
  <w:footnote w:id="4">
    <w:p w:rsidR="00BA4602" w:rsidRPr="00E17F5D" w:rsidRDefault="00BA4602" w:rsidP="00BA4602">
      <w:pPr>
        <w:pStyle w:val="Notedebasdepage"/>
        <w:jc w:val="both"/>
        <w:rPr>
          <w:rFonts w:asciiTheme="minorHAnsi" w:hAnsiTheme="minorHAnsi" w:cs="Calibri"/>
          <w:lang w:val="es-CO"/>
        </w:rPr>
      </w:pPr>
      <w:r w:rsidRPr="00E17F5D">
        <w:rPr>
          <w:rStyle w:val="Appelnotedebasdep"/>
          <w:rFonts w:asciiTheme="minorHAnsi" w:hAnsiTheme="minorHAnsi" w:cs="Calibri"/>
        </w:rPr>
        <w:footnoteRef/>
      </w:r>
      <w:r w:rsidRPr="00E17F5D">
        <w:rPr>
          <w:rFonts w:asciiTheme="minorHAnsi" w:hAnsiTheme="minorHAnsi"/>
        </w:rPr>
        <w:t xml:space="preserve"> </w:t>
      </w:r>
      <w:r w:rsidRPr="00E17F5D">
        <w:rPr>
          <w:rFonts w:asciiTheme="minorHAnsi" w:hAnsiTheme="minorHAnsi" w:cs="Calibri"/>
          <w:lang w:val="es-CO"/>
        </w:rPr>
        <w:t>ROJAS G</w:t>
      </w:r>
      <w:r>
        <w:rPr>
          <w:rFonts w:asciiTheme="minorHAnsi" w:hAnsiTheme="minorHAnsi" w:cs="Calibri"/>
          <w:lang w:val="es-CO"/>
        </w:rPr>
        <w:t>.</w:t>
      </w:r>
      <w:r w:rsidRPr="00E17F5D">
        <w:rPr>
          <w:rFonts w:asciiTheme="minorHAnsi" w:hAnsiTheme="minorHAnsi" w:cs="Calibri"/>
          <w:lang w:val="es-CO"/>
        </w:rPr>
        <w:t>, Miguel E. Lecciones de derecho procesal, procedimiento civil,</w:t>
      </w:r>
      <w:r>
        <w:rPr>
          <w:rFonts w:asciiTheme="minorHAnsi" w:hAnsiTheme="minorHAnsi" w:cs="Calibri"/>
          <w:lang w:val="es-CO"/>
        </w:rPr>
        <w:t xml:space="preserve"> </w:t>
      </w:r>
      <w:r w:rsidRPr="00E17F5D">
        <w:rPr>
          <w:rFonts w:asciiTheme="minorHAnsi" w:hAnsiTheme="minorHAnsi" w:cs="Calibri"/>
          <w:lang w:val="es-CO"/>
        </w:rPr>
        <w:t>tomo II, ESAJU, 2013, 5ª edición, Bogotá DC, p.332.</w:t>
      </w:r>
    </w:p>
  </w:footnote>
  <w:footnote w:id="5">
    <w:p w:rsidR="00F62C29" w:rsidRPr="001A1708" w:rsidRDefault="00F62C29" w:rsidP="002019D3">
      <w:pPr>
        <w:pStyle w:val="Notedebasdepage"/>
        <w:jc w:val="both"/>
        <w:rPr>
          <w:rFonts w:asciiTheme="minorHAnsi" w:hAnsiTheme="minorHAnsi"/>
        </w:rPr>
      </w:pPr>
      <w:r w:rsidRPr="001A1708">
        <w:rPr>
          <w:rFonts w:asciiTheme="minorHAnsi" w:hAnsiTheme="minorHAnsi"/>
          <w:vertAlign w:val="superscript"/>
        </w:rPr>
        <w:footnoteRef/>
      </w:r>
      <w:r w:rsidRPr="001A1708">
        <w:rPr>
          <w:rFonts w:asciiTheme="minorHAnsi" w:hAnsiTheme="minorHAnsi"/>
        </w:rPr>
        <w:t xml:space="preserve"> </w:t>
      </w:r>
      <w:r w:rsidRPr="001A1708">
        <w:rPr>
          <w:rFonts w:asciiTheme="minorHAnsi" w:hAnsiTheme="minorHAnsi" w:cs="Courier New"/>
          <w:lang w:val="es-CO"/>
        </w:rPr>
        <w:t>Sentencia C-1186 de 2008.</w:t>
      </w:r>
    </w:p>
  </w:footnote>
  <w:footnote w:id="6">
    <w:p w:rsidR="00F62C29" w:rsidRPr="001A1708" w:rsidRDefault="00F62C29" w:rsidP="002019D3">
      <w:pPr>
        <w:pStyle w:val="Notedebasdepage"/>
        <w:jc w:val="both"/>
        <w:rPr>
          <w:rFonts w:asciiTheme="minorHAnsi" w:hAnsiTheme="minorHAnsi"/>
        </w:rPr>
      </w:pPr>
      <w:r w:rsidRPr="001A1708">
        <w:rPr>
          <w:rFonts w:asciiTheme="minorHAnsi" w:hAnsiTheme="minorHAnsi"/>
          <w:vertAlign w:val="superscript"/>
        </w:rPr>
        <w:footnoteRef/>
      </w:r>
      <w:r w:rsidRPr="001A1708">
        <w:rPr>
          <w:rFonts w:asciiTheme="minorHAnsi" w:hAnsiTheme="minorHAnsi"/>
        </w:rPr>
        <w:t xml:space="preserve"> </w:t>
      </w:r>
      <w:r w:rsidRPr="001A1708">
        <w:rPr>
          <w:rFonts w:asciiTheme="minorHAnsi" w:hAnsiTheme="minorHAnsi" w:cs="Courier New"/>
          <w:lang w:val="es-CO"/>
        </w:rPr>
        <w:t>Sentencia C-868 de 2010.</w:t>
      </w:r>
    </w:p>
  </w:footnote>
  <w:footnote w:id="7">
    <w:p w:rsidR="005148E9" w:rsidRPr="001A1708" w:rsidRDefault="005148E9" w:rsidP="002019D3">
      <w:pPr>
        <w:pStyle w:val="Notedebasdepage"/>
        <w:jc w:val="both"/>
        <w:rPr>
          <w:rFonts w:asciiTheme="minorHAnsi" w:hAnsiTheme="minorHAnsi"/>
          <w:lang w:val="es-CO"/>
        </w:rPr>
      </w:pPr>
      <w:r w:rsidRPr="001A1708">
        <w:rPr>
          <w:rStyle w:val="Appelnotedebasdep"/>
          <w:rFonts w:asciiTheme="minorHAnsi" w:hAnsiTheme="minorHAnsi"/>
        </w:rPr>
        <w:footnoteRef/>
      </w:r>
      <w:r w:rsidRPr="001A1708">
        <w:rPr>
          <w:rFonts w:asciiTheme="minorHAnsi" w:hAnsiTheme="minorHAnsi"/>
        </w:rPr>
        <w:t xml:space="preserve"> </w:t>
      </w:r>
      <w:r w:rsidR="003C00F7" w:rsidRPr="006725A4">
        <w:rPr>
          <w:rFonts w:asciiTheme="minorHAnsi" w:hAnsiTheme="minorHAnsi" w:cs="Calibri"/>
        </w:rPr>
        <w:t>INSTITUTO COLOMBIANO DE DERECHO PROCESAL. Código General del Proceso</w:t>
      </w:r>
      <w:r w:rsidR="003C00F7" w:rsidRPr="006725A4">
        <w:rPr>
          <w:rFonts w:asciiTheme="minorHAnsi" w:hAnsiTheme="minorHAnsi" w:cs="Calibri"/>
          <w:lang w:val="es-CO"/>
        </w:rPr>
        <w:t xml:space="preserve">, </w:t>
      </w:r>
      <w:r w:rsidR="003C00F7">
        <w:rPr>
          <w:rFonts w:asciiTheme="minorHAnsi" w:hAnsiTheme="minorHAnsi" w:cs="Calibri"/>
          <w:lang w:val="es-CO"/>
        </w:rPr>
        <w:t>Carlos A. Colmenares U.</w:t>
      </w:r>
      <w:r w:rsidR="003C00F7" w:rsidRPr="006725A4">
        <w:rPr>
          <w:rFonts w:asciiTheme="minorHAnsi" w:hAnsiTheme="minorHAnsi" w:cs="Calibri"/>
          <w:lang w:val="es-CO"/>
        </w:rPr>
        <w:t>, Impresor Panamericana Formas e Impresos SAS, 2014, p.</w:t>
      </w:r>
      <w:r w:rsidR="003C00F7">
        <w:rPr>
          <w:rFonts w:asciiTheme="minorHAnsi" w:hAnsiTheme="minorHAnsi" w:cs="Calibri"/>
          <w:lang w:val="es-CO"/>
        </w:rPr>
        <w:t>329.</w:t>
      </w:r>
    </w:p>
  </w:footnote>
  <w:footnote w:id="8">
    <w:p w:rsidR="00CF364A" w:rsidRPr="001A1708" w:rsidRDefault="00CF364A">
      <w:pPr>
        <w:pStyle w:val="Notedebasdepage"/>
        <w:rPr>
          <w:rFonts w:asciiTheme="minorHAnsi" w:hAnsiTheme="minorHAnsi"/>
          <w:lang w:val="es-CO"/>
        </w:rPr>
      </w:pPr>
      <w:r w:rsidRPr="001A1708">
        <w:rPr>
          <w:rStyle w:val="Appelnotedebasdep"/>
          <w:rFonts w:asciiTheme="minorHAnsi" w:hAnsiTheme="minorHAnsi"/>
        </w:rPr>
        <w:footnoteRef/>
      </w:r>
      <w:r w:rsidRPr="001A1708">
        <w:rPr>
          <w:rFonts w:asciiTheme="minorHAnsi" w:hAnsiTheme="minorHAnsi"/>
        </w:rPr>
        <w:t xml:space="preserve"> </w:t>
      </w:r>
      <w:r w:rsidR="001A1708" w:rsidRPr="001A1708">
        <w:rPr>
          <w:rFonts w:asciiTheme="minorHAnsi" w:hAnsiTheme="minorHAnsi" w:cs="Courier New"/>
          <w:lang w:val="es-CO"/>
        </w:rPr>
        <w:t>Sentencia C-868 de 2010.</w:t>
      </w:r>
    </w:p>
  </w:footnote>
  <w:footnote w:id="9">
    <w:p w:rsidR="00CB01DF" w:rsidRPr="001A1708" w:rsidRDefault="00CB01DF" w:rsidP="002019D3">
      <w:pPr>
        <w:pStyle w:val="Sansinterligne"/>
        <w:jc w:val="both"/>
        <w:rPr>
          <w:rFonts w:asciiTheme="minorHAnsi" w:hAnsiTheme="minorHAnsi"/>
          <w:sz w:val="20"/>
          <w:szCs w:val="20"/>
        </w:rPr>
      </w:pPr>
      <w:r w:rsidRPr="001A1708">
        <w:rPr>
          <w:rFonts w:asciiTheme="minorHAnsi" w:hAnsiTheme="minorHAnsi" w:cs="Courier New"/>
          <w:sz w:val="20"/>
          <w:szCs w:val="20"/>
          <w:vertAlign w:val="superscript"/>
        </w:rPr>
        <w:footnoteRef/>
      </w:r>
      <w:r w:rsidRPr="001A1708">
        <w:rPr>
          <w:rFonts w:asciiTheme="minorHAnsi" w:hAnsiTheme="minorHAnsi" w:cs="Courier New"/>
          <w:sz w:val="20"/>
          <w:szCs w:val="20"/>
        </w:rPr>
        <w:t xml:space="preserve"> </w:t>
      </w:r>
      <w:r w:rsidRPr="001A1708">
        <w:rPr>
          <w:rFonts w:asciiTheme="minorHAnsi" w:hAnsiTheme="minorHAnsi" w:cs="Courier New"/>
          <w:sz w:val="20"/>
          <w:szCs w:val="20"/>
          <w:lang w:val="es-CO"/>
        </w:rPr>
        <w:t>Sentencia C-1186 de 2008.</w:t>
      </w:r>
    </w:p>
  </w:footnote>
  <w:footnote w:id="10">
    <w:p w:rsidR="005D4324" w:rsidRPr="001A1708" w:rsidRDefault="005D4324">
      <w:pPr>
        <w:pStyle w:val="Notedebasdepage"/>
        <w:rPr>
          <w:rFonts w:asciiTheme="minorHAnsi" w:hAnsiTheme="minorHAnsi"/>
          <w:lang w:val="es-CO"/>
        </w:rPr>
      </w:pPr>
      <w:r w:rsidRPr="001A1708">
        <w:rPr>
          <w:rStyle w:val="Appelnotedebasdep"/>
          <w:rFonts w:asciiTheme="minorHAnsi" w:hAnsiTheme="minorHAnsi"/>
        </w:rPr>
        <w:footnoteRef/>
      </w:r>
      <w:r w:rsidRPr="001A1708">
        <w:rPr>
          <w:rFonts w:asciiTheme="minorHAnsi" w:hAnsiTheme="minorHAnsi"/>
        </w:rPr>
        <w:t xml:space="preserve"> </w:t>
      </w:r>
      <w:r w:rsidRPr="001A1708">
        <w:rPr>
          <w:rFonts w:asciiTheme="minorHAnsi" w:hAnsiTheme="minorHAnsi" w:cs="Courier New"/>
        </w:rPr>
        <w:t>C</w:t>
      </w:r>
      <w:r w:rsidR="003839FB">
        <w:rPr>
          <w:rFonts w:asciiTheme="minorHAnsi" w:hAnsiTheme="minorHAnsi" w:cs="Courier New"/>
        </w:rPr>
        <w:t>S</w:t>
      </w:r>
      <w:r w:rsidRPr="001A1708">
        <w:rPr>
          <w:rFonts w:asciiTheme="minorHAnsi" w:hAnsiTheme="minorHAnsi" w:cs="Courier New"/>
        </w:rPr>
        <w:t xml:space="preserve">J.  </w:t>
      </w:r>
      <w:r w:rsidRPr="001A1708">
        <w:rPr>
          <w:rFonts w:asciiTheme="minorHAnsi" w:hAnsiTheme="minorHAnsi" w:cs="Courier New"/>
          <w:lang w:val="es-CO"/>
        </w:rPr>
        <w:t xml:space="preserve">Sentencia del </w:t>
      </w:r>
      <w:r w:rsidR="00985B2B" w:rsidRPr="001A1708">
        <w:rPr>
          <w:rFonts w:asciiTheme="minorHAnsi" w:hAnsiTheme="minorHAnsi" w:cs="Courier New"/>
          <w:lang w:val="es-CO"/>
        </w:rPr>
        <w:t>28-06-1963; MP: Enrique López de la P.</w:t>
      </w:r>
    </w:p>
  </w:footnote>
  <w:footnote w:id="11">
    <w:p w:rsidR="008B35B5" w:rsidRPr="001A1708" w:rsidRDefault="008B35B5" w:rsidP="002019D3">
      <w:pPr>
        <w:pStyle w:val="Notedebasdepage"/>
        <w:jc w:val="both"/>
        <w:rPr>
          <w:rFonts w:asciiTheme="minorHAnsi" w:hAnsiTheme="minorHAnsi"/>
          <w:lang w:val="es-CO"/>
        </w:rPr>
      </w:pPr>
      <w:r w:rsidRPr="001A1708">
        <w:rPr>
          <w:rStyle w:val="Appelnotedebasdep"/>
          <w:rFonts w:asciiTheme="minorHAnsi" w:hAnsiTheme="minorHAnsi"/>
        </w:rPr>
        <w:footnoteRef/>
      </w:r>
      <w:r w:rsidRPr="001A1708">
        <w:rPr>
          <w:rFonts w:asciiTheme="minorHAnsi" w:hAnsiTheme="minorHAnsi"/>
        </w:rPr>
        <w:t xml:space="preserve"> </w:t>
      </w:r>
      <w:r w:rsidRPr="001A1708">
        <w:rPr>
          <w:rFonts w:asciiTheme="minorHAnsi" w:hAnsiTheme="minorHAnsi" w:cs="Courier New"/>
          <w:lang w:val="es-CO"/>
        </w:rPr>
        <w:t>Sentencia C-273 de 1999.</w:t>
      </w:r>
    </w:p>
  </w:footnote>
  <w:footnote w:id="12">
    <w:p w:rsidR="008C044A" w:rsidRPr="001A1708" w:rsidRDefault="008C044A" w:rsidP="002019D3">
      <w:pPr>
        <w:pStyle w:val="Notedebasdepage"/>
        <w:jc w:val="both"/>
        <w:rPr>
          <w:rFonts w:asciiTheme="minorHAnsi" w:hAnsiTheme="minorHAnsi"/>
          <w:lang w:val="es-CO"/>
        </w:rPr>
      </w:pPr>
      <w:r w:rsidRPr="001A1708">
        <w:rPr>
          <w:rStyle w:val="Appelnotedebasdep"/>
          <w:rFonts w:asciiTheme="minorHAnsi" w:hAnsiTheme="minorHAnsi"/>
        </w:rPr>
        <w:footnoteRef/>
      </w:r>
      <w:r w:rsidRPr="001A1708">
        <w:rPr>
          <w:rFonts w:asciiTheme="minorHAnsi" w:hAnsiTheme="minorHAnsi"/>
        </w:rPr>
        <w:t xml:space="preserve"> </w:t>
      </w:r>
      <w:r w:rsidRPr="001A1708">
        <w:rPr>
          <w:rFonts w:asciiTheme="minorHAnsi" w:hAnsiTheme="minorHAnsi" w:cs="Courier New"/>
          <w:lang w:val="es-CO"/>
        </w:rPr>
        <w:t>Sentencia C-1186 de 2008.</w:t>
      </w:r>
    </w:p>
  </w:footnote>
  <w:footnote w:id="13">
    <w:p w:rsidR="00C70999" w:rsidRPr="001A1708" w:rsidRDefault="00C70999" w:rsidP="002019D3">
      <w:pPr>
        <w:pStyle w:val="Notedebasdepage"/>
        <w:jc w:val="both"/>
        <w:rPr>
          <w:rFonts w:asciiTheme="minorHAnsi" w:hAnsiTheme="minorHAnsi"/>
          <w:lang w:val="es-CO"/>
        </w:rPr>
      </w:pPr>
      <w:r w:rsidRPr="001A1708">
        <w:rPr>
          <w:rStyle w:val="Appelnotedebasdep"/>
          <w:rFonts w:asciiTheme="minorHAnsi" w:hAnsiTheme="minorHAnsi"/>
        </w:rPr>
        <w:footnoteRef/>
      </w:r>
      <w:r w:rsidRPr="001A1708">
        <w:rPr>
          <w:rFonts w:asciiTheme="minorHAnsi" w:hAnsiTheme="minorHAnsi"/>
        </w:rPr>
        <w:t xml:space="preserve"> </w:t>
      </w:r>
      <w:r w:rsidRPr="001A1708">
        <w:rPr>
          <w:rFonts w:asciiTheme="minorHAnsi" w:hAnsiTheme="minorHAnsi" w:cs="Courier New"/>
          <w:lang w:val="es-CO"/>
        </w:rPr>
        <w:t>Sentencia C-531 de 2013.</w:t>
      </w:r>
    </w:p>
  </w:footnote>
  <w:footnote w:id="14">
    <w:p w:rsidR="004F5B38" w:rsidRPr="001A1708" w:rsidRDefault="004F5B38" w:rsidP="002019D3">
      <w:pPr>
        <w:pStyle w:val="Notedebasdepage"/>
        <w:jc w:val="both"/>
        <w:rPr>
          <w:rFonts w:asciiTheme="minorHAnsi" w:hAnsiTheme="minorHAnsi"/>
          <w:lang w:val="es-CO"/>
        </w:rPr>
      </w:pPr>
      <w:r w:rsidRPr="001A1708">
        <w:rPr>
          <w:rStyle w:val="Appelnotedebasdep"/>
          <w:rFonts w:asciiTheme="minorHAnsi" w:hAnsiTheme="minorHAnsi"/>
        </w:rPr>
        <w:footnoteRef/>
      </w:r>
      <w:r w:rsidRPr="001A1708">
        <w:rPr>
          <w:rFonts w:asciiTheme="minorHAnsi" w:hAnsiTheme="minorHAnsi"/>
        </w:rPr>
        <w:t xml:space="preserve"> </w:t>
      </w:r>
      <w:r w:rsidRPr="001A1708">
        <w:rPr>
          <w:rFonts w:asciiTheme="minorHAnsi" w:hAnsiTheme="minorHAnsi" w:cs="Courier New"/>
          <w:lang w:val="es-CO"/>
        </w:rPr>
        <w:t>Sentencia</w:t>
      </w:r>
      <w:r w:rsidR="001956AA" w:rsidRPr="001A1708">
        <w:rPr>
          <w:rFonts w:asciiTheme="minorHAnsi" w:hAnsiTheme="minorHAnsi" w:cs="Courier New"/>
          <w:lang w:val="es-CO"/>
        </w:rPr>
        <w:t>s</w:t>
      </w:r>
      <w:r w:rsidRPr="001A1708">
        <w:rPr>
          <w:rFonts w:asciiTheme="minorHAnsi" w:hAnsiTheme="minorHAnsi" w:cs="Courier New"/>
          <w:lang w:val="es-CO"/>
        </w:rPr>
        <w:t xml:space="preserve"> </w:t>
      </w:r>
      <w:r w:rsidR="001956AA" w:rsidRPr="001A1708">
        <w:rPr>
          <w:rFonts w:asciiTheme="minorHAnsi" w:hAnsiTheme="minorHAnsi" w:cs="Courier New"/>
          <w:lang w:val="es-CO"/>
        </w:rPr>
        <w:t xml:space="preserve">SU-047 de 1999 y </w:t>
      </w:r>
      <w:r w:rsidRPr="001A1708">
        <w:rPr>
          <w:rFonts w:asciiTheme="minorHAnsi" w:hAnsiTheme="minorHAnsi" w:cs="Courier New"/>
          <w:lang w:val="es-CO"/>
        </w:rPr>
        <w:t>C-530 de 2011</w:t>
      </w:r>
      <w:r w:rsidR="001956AA" w:rsidRPr="001A1708">
        <w:rPr>
          <w:rFonts w:asciiTheme="minorHAnsi" w:hAnsiTheme="minorHAnsi" w:cs="Courier New"/>
          <w:lang w:val="es-CO"/>
        </w:rPr>
        <w:t>, entre otras</w:t>
      </w:r>
      <w:r w:rsidRPr="001A1708">
        <w:rPr>
          <w:rFonts w:asciiTheme="minorHAnsi" w:hAnsiTheme="minorHAnsi" w:cs="Courier New"/>
          <w:lang w:val="es-CO"/>
        </w:rPr>
        <w:t>.</w:t>
      </w:r>
    </w:p>
  </w:footnote>
  <w:footnote w:id="15">
    <w:p w:rsidR="00146328" w:rsidRPr="00146328" w:rsidRDefault="00146328" w:rsidP="00146328">
      <w:pPr>
        <w:pStyle w:val="Notedebasdepage"/>
        <w:rPr>
          <w:lang w:val="es-CO"/>
        </w:rPr>
      </w:pPr>
      <w:r>
        <w:rPr>
          <w:rStyle w:val="Appelnotedebasdep"/>
        </w:rPr>
        <w:footnoteRef/>
      </w:r>
      <w:r>
        <w:t xml:space="preserve"> </w:t>
      </w:r>
      <w:r w:rsidRPr="001A1708">
        <w:rPr>
          <w:rFonts w:asciiTheme="minorHAnsi" w:hAnsiTheme="minorHAnsi" w:cs="Courier New"/>
          <w:lang w:val="es-CO"/>
        </w:rPr>
        <w:t>Sentencia C-5</w:t>
      </w:r>
      <w:r>
        <w:rPr>
          <w:rFonts w:asciiTheme="minorHAnsi" w:hAnsiTheme="minorHAnsi" w:cs="Courier New"/>
          <w:lang w:val="es-CO"/>
        </w:rPr>
        <w:t>53</w:t>
      </w:r>
      <w:r w:rsidRPr="001A1708">
        <w:rPr>
          <w:rFonts w:asciiTheme="minorHAnsi" w:hAnsiTheme="minorHAnsi" w:cs="Courier New"/>
          <w:lang w:val="es-CO"/>
        </w:rPr>
        <w:t xml:space="preserve"> de 201</w:t>
      </w:r>
      <w:r>
        <w:rPr>
          <w:rFonts w:asciiTheme="minorHAnsi" w:hAnsiTheme="minorHAnsi" w:cs="Courier New"/>
          <w:lang w:val="es-CO"/>
        </w:rPr>
        <w:t>6.</w:t>
      </w:r>
    </w:p>
  </w:footnote>
  <w:footnote w:id="16">
    <w:p w:rsidR="00A57A2E" w:rsidRPr="001A1708" w:rsidRDefault="00A57A2E" w:rsidP="002019D3">
      <w:pPr>
        <w:shd w:val="clear" w:color="auto" w:fill="FFFFFF"/>
        <w:spacing w:line="240" w:lineRule="atLeast"/>
        <w:jc w:val="both"/>
        <w:rPr>
          <w:rFonts w:asciiTheme="minorHAnsi" w:hAnsiTheme="minorHAnsi" w:cs="Arial"/>
          <w:sz w:val="20"/>
          <w:szCs w:val="20"/>
        </w:rPr>
      </w:pPr>
      <w:r w:rsidRPr="001A1708">
        <w:rPr>
          <w:rStyle w:val="Appelnotedebasdep"/>
          <w:rFonts w:asciiTheme="minorHAnsi" w:hAnsiTheme="minorHAnsi"/>
          <w:sz w:val="20"/>
          <w:szCs w:val="20"/>
        </w:rPr>
        <w:footnoteRef/>
      </w:r>
      <w:r w:rsidR="00B05CE0" w:rsidRPr="001A1708">
        <w:rPr>
          <w:rFonts w:asciiTheme="minorHAnsi" w:hAnsiTheme="minorHAnsi" w:cs="Calibri"/>
          <w:sz w:val="20"/>
          <w:szCs w:val="20"/>
        </w:rPr>
        <w:t xml:space="preserve"> </w:t>
      </w:r>
      <w:r w:rsidR="00B05CE0" w:rsidRPr="001A1708">
        <w:rPr>
          <w:rFonts w:asciiTheme="minorHAnsi" w:hAnsiTheme="minorHAnsi"/>
          <w:sz w:val="20"/>
          <w:szCs w:val="20"/>
        </w:rPr>
        <w:t>UPRIMY, Rodrigo.</w:t>
      </w:r>
      <w:r w:rsidR="00B05CE0" w:rsidRPr="001A1708">
        <w:rPr>
          <w:rFonts w:asciiTheme="minorHAnsi" w:hAnsiTheme="minorHAnsi" w:cs="Calibri"/>
          <w:sz w:val="20"/>
          <w:szCs w:val="20"/>
        </w:rPr>
        <w:t xml:space="preserve"> </w:t>
      </w:r>
      <w:r w:rsidR="00B05CE0" w:rsidRPr="001A1708">
        <w:rPr>
          <w:rFonts w:asciiTheme="minorHAnsi" w:hAnsiTheme="minorHAnsi"/>
          <w:sz w:val="20"/>
          <w:szCs w:val="20"/>
        </w:rPr>
        <w:t>¿Es precedente judicial la nueva teoría de la “cesantía comercial” de la Corte Suprema de Justicia?</w:t>
      </w:r>
      <w:r w:rsidR="00B05CE0" w:rsidRPr="001A1708">
        <w:rPr>
          <w:rFonts w:asciiTheme="minorHAnsi" w:hAnsiTheme="minorHAnsi" w:cs="Arial"/>
          <w:sz w:val="20"/>
          <w:szCs w:val="20"/>
          <w:lang w:val="es-CO"/>
        </w:rPr>
        <w:t xml:space="preserve"> [En línea]. </w:t>
      </w:r>
      <w:r w:rsidR="000F6E13" w:rsidRPr="001A1708">
        <w:rPr>
          <w:rFonts w:asciiTheme="minorHAnsi" w:hAnsiTheme="minorHAnsi"/>
          <w:sz w:val="20"/>
          <w:szCs w:val="20"/>
        </w:rPr>
        <w:t>Ámbito Jurídico</w:t>
      </w:r>
      <w:r w:rsidR="00B05CE0" w:rsidRPr="001A1708">
        <w:rPr>
          <w:rFonts w:asciiTheme="minorHAnsi" w:hAnsiTheme="minorHAnsi" w:cs="Arial"/>
          <w:sz w:val="20"/>
          <w:szCs w:val="20"/>
          <w:lang w:val="es-CO"/>
        </w:rPr>
        <w:t xml:space="preserve">, </w:t>
      </w:r>
      <w:r w:rsidR="000F6E13" w:rsidRPr="001A1708">
        <w:rPr>
          <w:rFonts w:asciiTheme="minorHAnsi" w:hAnsiTheme="minorHAnsi" w:cs="Arial"/>
          <w:sz w:val="20"/>
          <w:szCs w:val="20"/>
          <w:lang w:val="es-CO"/>
        </w:rPr>
        <w:t>14-03-2012</w:t>
      </w:r>
      <w:r w:rsidR="00B05CE0" w:rsidRPr="001A1708">
        <w:rPr>
          <w:rFonts w:asciiTheme="minorHAnsi" w:hAnsiTheme="minorHAnsi" w:cs="Arial"/>
          <w:sz w:val="20"/>
          <w:szCs w:val="20"/>
          <w:lang w:val="es-CO"/>
        </w:rPr>
        <w:t>, [Visitado el 201</w:t>
      </w:r>
      <w:r w:rsidR="00146328">
        <w:rPr>
          <w:rFonts w:asciiTheme="minorHAnsi" w:hAnsiTheme="minorHAnsi" w:cs="Arial"/>
          <w:sz w:val="20"/>
          <w:szCs w:val="20"/>
          <w:lang w:val="es-CO"/>
        </w:rPr>
        <w:t>7</w:t>
      </w:r>
      <w:r w:rsidR="00B05CE0" w:rsidRPr="001A1708">
        <w:rPr>
          <w:rFonts w:asciiTheme="minorHAnsi" w:hAnsiTheme="minorHAnsi" w:cs="Arial"/>
          <w:sz w:val="20"/>
          <w:szCs w:val="20"/>
          <w:lang w:val="es-CO"/>
        </w:rPr>
        <w:t>-0</w:t>
      </w:r>
      <w:r w:rsidR="00146328">
        <w:rPr>
          <w:rFonts w:asciiTheme="minorHAnsi" w:hAnsiTheme="minorHAnsi" w:cs="Arial"/>
          <w:sz w:val="20"/>
          <w:szCs w:val="20"/>
          <w:lang w:val="es-CO"/>
        </w:rPr>
        <w:t>3</w:t>
      </w:r>
      <w:r w:rsidR="00B05CE0" w:rsidRPr="001A1708">
        <w:rPr>
          <w:rFonts w:asciiTheme="minorHAnsi" w:hAnsiTheme="minorHAnsi" w:cs="Arial"/>
          <w:sz w:val="20"/>
          <w:szCs w:val="20"/>
          <w:lang w:val="es-CO"/>
        </w:rPr>
        <w:t>-</w:t>
      </w:r>
      <w:r w:rsidR="00146328">
        <w:rPr>
          <w:rFonts w:asciiTheme="minorHAnsi" w:hAnsiTheme="minorHAnsi" w:cs="Arial"/>
          <w:sz w:val="20"/>
          <w:szCs w:val="20"/>
          <w:lang w:val="es-CO"/>
        </w:rPr>
        <w:t>27</w:t>
      </w:r>
      <w:r w:rsidR="00B05CE0" w:rsidRPr="001A1708">
        <w:rPr>
          <w:rFonts w:asciiTheme="minorHAnsi" w:hAnsiTheme="minorHAnsi" w:cs="Arial"/>
          <w:sz w:val="20"/>
          <w:szCs w:val="20"/>
          <w:lang w:val="es-CO"/>
        </w:rPr>
        <w:t xml:space="preserve">]. Disponible en internet: </w:t>
      </w:r>
      <w:r w:rsidR="002019D3" w:rsidRPr="001A1708">
        <w:rPr>
          <w:rFonts w:asciiTheme="minorHAnsi" w:hAnsiTheme="minorHAnsi" w:cs="Arial"/>
          <w:sz w:val="20"/>
          <w:szCs w:val="20"/>
        </w:rPr>
        <w:t>www.</w:t>
      </w:r>
      <w:r w:rsidR="002019D3" w:rsidRPr="001A1708">
        <w:rPr>
          <w:rFonts w:asciiTheme="minorHAnsi" w:hAnsiTheme="minorHAnsi" w:cs="Arial"/>
          <w:bCs/>
          <w:sz w:val="20"/>
          <w:szCs w:val="20"/>
        </w:rPr>
        <w:t>ambitojuridico</w:t>
      </w:r>
      <w:r w:rsidR="002019D3" w:rsidRPr="001A1708">
        <w:rPr>
          <w:rFonts w:asciiTheme="minorHAnsi" w:hAnsiTheme="minorHAnsi" w:cs="Arial"/>
          <w:sz w:val="20"/>
          <w:szCs w:val="20"/>
        </w:rPr>
        <w:t>.com/...</w:t>
      </w:r>
      <w:r w:rsidR="002019D3" w:rsidRPr="001A1708">
        <w:rPr>
          <w:rFonts w:asciiTheme="minorHAnsi" w:hAnsiTheme="minorHAnsi" w:cs="Arial"/>
          <w:bCs/>
          <w:sz w:val="20"/>
          <w:szCs w:val="20"/>
        </w:rPr>
        <w:t>precedente</w:t>
      </w:r>
      <w:r w:rsidR="002019D3" w:rsidRPr="001A1708">
        <w:rPr>
          <w:rFonts w:asciiTheme="minorHAnsi" w:hAnsiTheme="minorHAnsi" w:cs="Arial"/>
          <w:sz w:val="20"/>
          <w:szCs w:val="20"/>
        </w:rPr>
        <w:t>_</w:t>
      </w:r>
      <w:r w:rsidR="002019D3" w:rsidRPr="001A1708">
        <w:rPr>
          <w:rFonts w:asciiTheme="minorHAnsi" w:hAnsiTheme="minorHAnsi" w:cs="Arial"/>
          <w:bCs/>
          <w:sz w:val="20"/>
          <w:szCs w:val="20"/>
        </w:rPr>
        <w:t>judicial</w:t>
      </w:r>
      <w:r w:rsidR="002019D3" w:rsidRPr="001A1708">
        <w:rPr>
          <w:rFonts w:asciiTheme="minorHAnsi" w:hAnsiTheme="minorHAnsi" w:cs="Arial"/>
          <w:sz w:val="20"/>
          <w:szCs w:val="20"/>
        </w:rPr>
        <w:t>.../noti-120314-12(es_</w:t>
      </w:r>
      <w:r w:rsidR="002019D3" w:rsidRPr="001A1708">
        <w:rPr>
          <w:rFonts w:asciiTheme="minorHAnsi" w:hAnsiTheme="minorHAnsi" w:cs="Arial"/>
          <w:bCs/>
          <w:sz w:val="20"/>
          <w:szCs w:val="20"/>
        </w:rPr>
        <w:t>pr</w:t>
      </w:r>
      <w:r w:rsidR="002019D3" w:rsidRPr="001A1708">
        <w:rPr>
          <w:rFonts w:asciiTheme="minorHAnsi" w:hAnsiTheme="minorHAnsi" w:cs="Arial"/>
          <w:sz w:val="20"/>
          <w:szCs w:val="20"/>
        </w:rPr>
        <w:t>...</w:t>
      </w:r>
    </w:p>
  </w:footnote>
  <w:footnote w:id="17">
    <w:p w:rsidR="008D46DD" w:rsidRPr="00925685" w:rsidRDefault="008D46DD" w:rsidP="003C00F7">
      <w:pPr>
        <w:shd w:val="clear" w:color="auto" w:fill="FFFFFF"/>
        <w:spacing w:line="240" w:lineRule="atLeast"/>
        <w:jc w:val="both"/>
        <w:rPr>
          <w:rFonts w:asciiTheme="minorHAnsi" w:hAnsiTheme="minorHAnsi" w:cs="Arial"/>
          <w:color w:val="808080"/>
          <w:sz w:val="20"/>
          <w:szCs w:val="20"/>
          <w:lang w:val="fr-FR"/>
        </w:rPr>
      </w:pPr>
      <w:r w:rsidRPr="003C00F7">
        <w:rPr>
          <w:rStyle w:val="Appelnotedebasdep"/>
          <w:rFonts w:asciiTheme="minorHAnsi" w:hAnsiTheme="minorHAnsi"/>
          <w:sz w:val="20"/>
          <w:szCs w:val="20"/>
        </w:rPr>
        <w:footnoteRef/>
      </w:r>
      <w:r w:rsidRPr="003C00F7">
        <w:rPr>
          <w:rFonts w:asciiTheme="minorHAnsi" w:hAnsiTheme="minorHAnsi"/>
          <w:sz w:val="20"/>
          <w:szCs w:val="20"/>
        </w:rPr>
        <w:t xml:space="preserve"> </w:t>
      </w:r>
      <w:proofErr w:type="spellStart"/>
      <w:r w:rsidRPr="003C00F7">
        <w:rPr>
          <w:rFonts w:asciiTheme="minorHAnsi" w:hAnsiTheme="minorHAnsi"/>
          <w:sz w:val="20"/>
          <w:szCs w:val="20"/>
        </w:rPr>
        <w:t>NISIMBLAT</w:t>
      </w:r>
      <w:proofErr w:type="spellEnd"/>
      <w:r w:rsidRPr="003C00F7">
        <w:rPr>
          <w:rFonts w:asciiTheme="minorHAnsi" w:hAnsiTheme="minorHAnsi"/>
          <w:sz w:val="20"/>
          <w:szCs w:val="20"/>
        </w:rPr>
        <w:t xml:space="preserve">, </w:t>
      </w:r>
      <w:proofErr w:type="spellStart"/>
      <w:r w:rsidRPr="003C00F7">
        <w:rPr>
          <w:rFonts w:asciiTheme="minorHAnsi" w:hAnsiTheme="minorHAnsi"/>
          <w:sz w:val="20"/>
          <w:szCs w:val="20"/>
        </w:rPr>
        <w:t>Nattan</w:t>
      </w:r>
      <w:proofErr w:type="spellEnd"/>
      <w:r w:rsidRPr="003C00F7">
        <w:rPr>
          <w:rFonts w:asciiTheme="minorHAnsi" w:hAnsiTheme="minorHAnsi"/>
          <w:sz w:val="20"/>
          <w:szCs w:val="20"/>
        </w:rPr>
        <w:t>.</w:t>
      </w:r>
      <w:r w:rsidRPr="003C00F7">
        <w:rPr>
          <w:rFonts w:asciiTheme="minorHAnsi" w:hAnsiTheme="minorHAnsi" w:cs="Calibri"/>
          <w:sz w:val="20"/>
          <w:szCs w:val="20"/>
        </w:rPr>
        <w:t xml:space="preserve"> El desistimiento tácito en la Ley 1564 de 2012 y derogatoria del artículo 346 del CPC </w:t>
      </w:r>
      <w:r w:rsidRPr="003C00F7">
        <w:rPr>
          <w:rFonts w:asciiTheme="minorHAnsi" w:hAnsiTheme="minorHAnsi" w:cs="Arial"/>
          <w:sz w:val="20"/>
          <w:szCs w:val="20"/>
          <w:lang w:val="es-CO"/>
        </w:rPr>
        <w:t>[En línea]. Universidad de los Andes, Correo judicial, febrero de 2013 [Visitado el 201</w:t>
      </w:r>
      <w:r w:rsidR="003839FB" w:rsidRPr="003C00F7">
        <w:rPr>
          <w:rFonts w:asciiTheme="minorHAnsi" w:hAnsiTheme="minorHAnsi" w:cs="Arial"/>
          <w:sz w:val="20"/>
          <w:szCs w:val="20"/>
          <w:lang w:val="es-CO"/>
        </w:rPr>
        <w:t>7</w:t>
      </w:r>
      <w:r w:rsidRPr="003C00F7">
        <w:rPr>
          <w:rFonts w:asciiTheme="minorHAnsi" w:hAnsiTheme="minorHAnsi" w:cs="Arial"/>
          <w:sz w:val="20"/>
          <w:szCs w:val="20"/>
          <w:lang w:val="es-CO"/>
        </w:rPr>
        <w:t>-03-</w:t>
      </w:r>
      <w:r w:rsidR="003839FB" w:rsidRPr="003C00F7">
        <w:rPr>
          <w:rFonts w:asciiTheme="minorHAnsi" w:hAnsiTheme="minorHAnsi" w:cs="Arial"/>
          <w:sz w:val="20"/>
          <w:szCs w:val="20"/>
          <w:lang w:val="es-CO"/>
        </w:rPr>
        <w:t>21</w:t>
      </w:r>
      <w:r w:rsidRPr="003C00F7">
        <w:rPr>
          <w:rFonts w:asciiTheme="minorHAnsi" w:hAnsiTheme="minorHAnsi" w:cs="Arial"/>
          <w:sz w:val="20"/>
          <w:szCs w:val="20"/>
          <w:lang w:val="es-CO"/>
        </w:rPr>
        <w:t xml:space="preserve">]. </w:t>
      </w:r>
      <w:r w:rsidRPr="00925685">
        <w:rPr>
          <w:rFonts w:asciiTheme="minorHAnsi" w:hAnsiTheme="minorHAnsi" w:cs="Arial"/>
          <w:sz w:val="20"/>
          <w:szCs w:val="20"/>
          <w:lang w:val="fr-FR"/>
        </w:rPr>
        <w:t>Disponible en internet: uniandes.academia.edu/</w:t>
      </w:r>
      <w:r w:rsidRPr="00925685">
        <w:rPr>
          <w:rFonts w:asciiTheme="minorHAnsi" w:hAnsiTheme="minorHAnsi" w:cs="Arial"/>
          <w:bCs/>
          <w:sz w:val="20"/>
          <w:szCs w:val="20"/>
          <w:lang w:val="fr-FR"/>
        </w:rPr>
        <w:t>NattanNisimblat</w:t>
      </w:r>
    </w:p>
  </w:footnote>
  <w:footnote w:id="18">
    <w:p w:rsidR="003C00F7" w:rsidRPr="003C00F7" w:rsidRDefault="003C00F7" w:rsidP="003C00F7">
      <w:pPr>
        <w:pStyle w:val="Notedebasdepage"/>
        <w:jc w:val="both"/>
        <w:rPr>
          <w:rFonts w:asciiTheme="minorHAnsi" w:hAnsiTheme="minorHAnsi"/>
          <w:lang w:val="es-CO"/>
        </w:rPr>
      </w:pPr>
      <w:r w:rsidRPr="003C00F7">
        <w:rPr>
          <w:rStyle w:val="Appelnotedebasdep"/>
          <w:rFonts w:asciiTheme="minorHAnsi" w:hAnsiTheme="minorHAnsi"/>
        </w:rPr>
        <w:footnoteRef/>
      </w:r>
      <w:r w:rsidRPr="00925685">
        <w:rPr>
          <w:rFonts w:asciiTheme="minorHAnsi" w:hAnsiTheme="minorHAnsi"/>
          <w:lang w:val="fr-FR"/>
        </w:rPr>
        <w:t xml:space="preserve"> </w:t>
      </w:r>
      <w:r w:rsidRPr="00925685">
        <w:rPr>
          <w:rFonts w:asciiTheme="minorHAnsi" w:hAnsiTheme="minorHAnsi" w:cs="Calibri"/>
          <w:lang w:val="fr-FR"/>
        </w:rPr>
        <w:t xml:space="preserve">TSP, Sala Civil – Familia. </w:t>
      </w:r>
      <w:r w:rsidRPr="003C00F7">
        <w:rPr>
          <w:rFonts w:asciiTheme="minorHAnsi" w:hAnsiTheme="minorHAnsi" w:cs="Calibri"/>
          <w:lang w:val="es-CO"/>
        </w:rPr>
        <w:t>Providencia del</w:t>
      </w:r>
      <w:r w:rsidRPr="003C00F7">
        <w:rPr>
          <w:rFonts w:asciiTheme="minorHAnsi" w:hAnsiTheme="minorHAnsi" w:cs="Calibri"/>
        </w:rPr>
        <w:t xml:space="preserve"> </w:t>
      </w:r>
      <w:r>
        <w:rPr>
          <w:rFonts w:asciiTheme="minorHAnsi" w:hAnsiTheme="minorHAnsi" w:cs="Calibri"/>
        </w:rPr>
        <w:t>21-08-2015</w:t>
      </w:r>
      <w:r w:rsidRPr="003C00F7">
        <w:rPr>
          <w:rFonts w:asciiTheme="minorHAnsi" w:hAnsiTheme="minorHAnsi" w:cs="Calibri"/>
        </w:rPr>
        <w:t xml:space="preserve">; MS: </w:t>
      </w:r>
      <w:proofErr w:type="spellStart"/>
      <w:r w:rsidRPr="003C00F7">
        <w:rPr>
          <w:rFonts w:asciiTheme="minorHAnsi" w:hAnsiTheme="minorHAnsi" w:cs="Calibri"/>
        </w:rPr>
        <w:t>Duberney</w:t>
      </w:r>
      <w:proofErr w:type="spellEnd"/>
      <w:r w:rsidRPr="003C00F7">
        <w:rPr>
          <w:rFonts w:asciiTheme="minorHAnsi" w:hAnsiTheme="minorHAnsi" w:cs="Calibri"/>
        </w:rPr>
        <w:t xml:space="preserve"> Grisales H</w:t>
      </w:r>
      <w:r>
        <w:rPr>
          <w:rFonts w:asciiTheme="minorHAnsi" w:hAnsiTheme="minorHAnsi" w:cs="Calibri"/>
        </w:rPr>
        <w:t>.</w:t>
      </w:r>
      <w:r w:rsidRPr="003C00F7">
        <w:rPr>
          <w:rFonts w:asciiTheme="minorHAnsi" w:hAnsiTheme="minorHAnsi" w:cs="Calibri"/>
        </w:rPr>
        <w:t>, expediente No.201</w:t>
      </w:r>
      <w:r>
        <w:rPr>
          <w:rFonts w:asciiTheme="minorHAnsi" w:hAnsiTheme="minorHAnsi" w:cs="Calibri"/>
        </w:rPr>
        <w:t>2</w:t>
      </w:r>
      <w:r w:rsidRPr="003C00F7">
        <w:rPr>
          <w:rFonts w:asciiTheme="minorHAnsi" w:hAnsiTheme="minorHAnsi" w:cs="Calibri"/>
        </w:rPr>
        <w:t>-00</w:t>
      </w:r>
      <w:r>
        <w:rPr>
          <w:rFonts w:asciiTheme="minorHAnsi" w:hAnsiTheme="minorHAnsi" w:cs="Calibri"/>
        </w:rPr>
        <w:t>165</w:t>
      </w:r>
      <w:r w:rsidRPr="003C00F7">
        <w:rPr>
          <w:rFonts w:asciiTheme="minorHAnsi" w:hAnsiTheme="minorHAnsi" w:cs="Calibri"/>
        </w:rPr>
        <w:t>-0</w:t>
      </w:r>
      <w:r>
        <w:rPr>
          <w:rFonts w:asciiTheme="minorHAnsi" w:hAnsiTheme="minorHAnsi" w:cs="Calibri"/>
        </w:rPr>
        <w:t>1.</w:t>
      </w:r>
    </w:p>
  </w:footnote>
  <w:footnote w:id="19">
    <w:p w:rsidR="00C34F32" w:rsidRPr="00925685" w:rsidRDefault="00C34F32" w:rsidP="003C00F7">
      <w:pPr>
        <w:pStyle w:val="Notedebasdepage"/>
        <w:jc w:val="both"/>
        <w:rPr>
          <w:rFonts w:asciiTheme="minorHAnsi" w:hAnsiTheme="minorHAnsi"/>
          <w:lang w:val="es-CO"/>
        </w:rPr>
      </w:pPr>
      <w:r w:rsidRPr="003C00F7">
        <w:rPr>
          <w:rStyle w:val="Appelnotedebasdep"/>
          <w:rFonts w:asciiTheme="minorHAnsi" w:hAnsiTheme="minorHAnsi"/>
        </w:rPr>
        <w:footnoteRef/>
      </w:r>
      <w:r w:rsidRPr="00925685">
        <w:rPr>
          <w:rFonts w:asciiTheme="minorHAnsi" w:hAnsiTheme="minorHAnsi"/>
          <w:lang w:val="es-CO"/>
        </w:rPr>
        <w:t xml:space="preserve"> NISIMBLAT, Nattan.  Ob. cit., p.8.</w:t>
      </w:r>
    </w:p>
  </w:footnote>
  <w:footnote w:id="20">
    <w:p w:rsidR="00C34F32" w:rsidRPr="003C00F7" w:rsidRDefault="00C34F32" w:rsidP="003C00F7">
      <w:pPr>
        <w:pStyle w:val="Notedebasdepage"/>
        <w:jc w:val="both"/>
        <w:rPr>
          <w:rFonts w:asciiTheme="minorHAnsi" w:hAnsiTheme="minorHAnsi"/>
          <w:lang w:val="es-CO"/>
        </w:rPr>
      </w:pPr>
      <w:r w:rsidRPr="003C00F7">
        <w:rPr>
          <w:rStyle w:val="Appelnotedebasdep"/>
          <w:rFonts w:asciiTheme="minorHAnsi" w:hAnsiTheme="minorHAnsi"/>
        </w:rPr>
        <w:footnoteRef/>
      </w:r>
      <w:r w:rsidRPr="003C00F7">
        <w:rPr>
          <w:rFonts w:asciiTheme="minorHAnsi" w:hAnsiTheme="minorHAnsi"/>
        </w:rPr>
        <w:t xml:space="preserve"> </w:t>
      </w:r>
      <w:r w:rsidRPr="003C00F7">
        <w:rPr>
          <w:rFonts w:asciiTheme="minorHAnsi" w:hAnsiTheme="minorHAnsi" w:cs="Calibri"/>
        </w:rPr>
        <w:t>ROJAS G</w:t>
      </w:r>
      <w:r w:rsidR="003839FB" w:rsidRPr="003C00F7">
        <w:rPr>
          <w:rFonts w:asciiTheme="minorHAnsi" w:hAnsiTheme="minorHAnsi" w:cs="Calibri"/>
        </w:rPr>
        <w:t>.</w:t>
      </w:r>
      <w:r w:rsidRPr="003C00F7">
        <w:rPr>
          <w:rFonts w:asciiTheme="minorHAnsi" w:hAnsiTheme="minorHAnsi" w:cs="Calibri"/>
        </w:rPr>
        <w:t>, Miguel E. Lecciones de derecho procesal, tomo II, procedimiento civil, 5ª edición, editorial ESAJU, Bogotá DC, 2013, p.429.</w:t>
      </w:r>
    </w:p>
  </w:footnote>
  <w:footnote w:id="21">
    <w:p w:rsidR="00580BC4" w:rsidRPr="00580BC4" w:rsidRDefault="00580BC4">
      <w:pPr>
        <w:pStyle w:val="Notedebasdepage"/>
        <w:rPr>
          <w:lang w:val="es-CO"/>
        </w:rPr>
      </w:pPr>
      <w:r>
        <w:rPr>
          <w:rStyle w:val="Appelnotedebasdep"/>
        </w:rPr>
        <w:footnoteRef/>
      </w:r>
      <w:r>
        <w:t xml:space="preserve"> </w:t>
      </w:r>
      <w:r w:rsidR="001F55C5" w:rsidRPr="003C00F7">
        <w:rPr>
          <w:rFonts w:asciiTheme="minorHAnsi" w:hAnsiTheme="minorHAnsi" w:cs="Calibri"/>
          <w:lang w:val="es-CO"/>
        </w:rPr>
        <w:t>TSP, Sala Civil – Familia. Providencia del</w:t>
      </w:r>
      <w:r w:rsidR="001F55C5" w:rsidRPr="003C00F7">
        <w:rPr>
          <w:rFonts w:asciiTheme="minorHAnsi" w:hAnsiTheme="minorHAnsi" w:cs="Calibri"/>
        </w:rPr>
        <w:t xml:space="preserve"> </w:t>
      </w:r>
      <w:r w:rsidR="001F55C5">
        <w:rPr>
          <w:rFonts w:asciiTheme="minorHAnsi" w:hAnsiTheme="minorHAnsi" w:cs="Calibri"/>
        </w:rPr>
        <w:t>21-08-2015, ob.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068" w:rsidRDefault="00F36741" w:rsidP="0071306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13068" w:rsidRDefault="00713068" w:rsidP="00713068">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i/>
        <w:color w:val="7F7F7F" w:themeColor="background1" w:themeShade="7F"/>
        <w:spacing w:val="60"/>
        <w:sz w:val="22"/>
      </w:rPr>
      <w:id w:val="-349645726"/>
      <w:docPartObj>
        <w:docPartGallery w:val="Page Numbers (Top of Page)"/>
        <w:docPartUnique/>
      </w:docPartObj>
    </w:sdtPr>
    <w:sdtEndPr>
      <w:rPr>
        <w:bCs/>
        <w:color w:val="auto"/>
        <w:spacing w:val="0"/>
      </w:rPr>
    </w:sdtEndPr>
    <w:sdtContent>
      <w:p w:rsidR="006D2A7F" w:rsidRPr="00785161" w:rsidRDefault="006D2A7F">
        <w:pPr>
          <w:pStyle w:val="En-tte"/>
          <w:pBdr>
            <w:bottom w:val="single" w:sz="4" w:space="1" w:color="D9D9D9" w:themeColor="background1" w:themeShade="D9"/>
          </w:pBdr>
          <w:jc w:val="right"/>
          <w:rPr>
            <w:rFonts w:asciiTheme="minorHAnsi" w:hAnsiTheme="minorHAnsi"/>
            <w:bCs/>
            <w:i/>
            <w:sz w:val="22"/>
          </w:rPr>
        </w:pPr>
        <w:r w:rsidRPr="00785161">
          <w:rPr>
            <w:rFonts w:asciiTheme="minorHAnsi" w:hAnsiTheme="minorHAnsi"/>
            <w:i/>
            <w:color w:val="7F7F7F" w:themeColor="background1" w:themeShade="7F"/>
            <w:spacing w:val="60"/>
            <w:sz w:val="22"/>
          </w:rPr>
          <w:t>Página</w:t>
        </w:r>
        <w:r w:rsidRPr="00785161">
          <w:rPr>
            <w:rFonts w:asciiTheme="minorHAnsi" w:hAnsiTheme="minorHAnsi"/>
            <w:i/>
            <w:sz w:val="22"/>
          </w:rPr>
          <w:t xml:space="preserve"> | </w:t>
        </w:r>
        <w:r w:rsidRPr="00785161">
          <w:rPr>
            <w:rFonts w:asciiTheme="minorHAnsi" w:hAnsiTheme="minorHAnsi"/>
            <w:i/>
            <w:sz w:val="22"/>
          </w:rPr>
          <w:fldChar w:fldCharType="begin"/>
        </w:r>
        <w:r w:rsidRPr="00785161">
          <w:rPr>
            <w:rFonts w:asciiTheme="minorHAnsi" w:hAnsiTheme="minorHAnsi"/>
            <w:i/>
            <w:sz w:val="22"/>
          </w:rPr>
          <w:instrText>PAGE   \* MERGEFORMAT</w:instrText>
        </w:r>
        <w:r w:rsidRPr="00785161">
          <w:rPr>
            <w:rFonts w:asciiTheme="minorHAnsi" w:hAnsiTheme="minorHAnsi"/>
            <w:i/>
            <w:sz w:val="22"/>
          </w:rPr>
          <w:fldChar w:fldCharType="separate"/>
        </w:r>
        <w:r w:rsidR="00991EEA" w:rsidRPr="00991EEA">
          <w:rPr>
            <w:rFonts w:asciiTheme="minorHAnsi" w:hAnsiTheme="minorHAnsi"/>
            <w:bCs/>
            <w:i/>
            <w:noProof/>
            <w:sz w:val="22"/>
          </w:rPr>
          <w:t>10</w:t>
        </w:r>
        <w:r w:rsidRPr="00785161">
          <w:rPr>
            <w:rFonts w:asciiTheme="minorHAnsi" w:hAnsiTheme="minorHAnsi"/>
            <w:bCs/>
            <w:i/>
            <w:sz w:val="22"/>
          </w:rPr>
          <w:fldChar w:fldCharType="end"/>
        </w:r>
      </w:p>
    </w:sdtContent>
  </w:sdt>
  <w:p w:rsidR="006D2A7F" w:rsidRPr="00785161" w:rsidRDefault="006D2A7F" w:rsidP="00AF5080">
    <w:pPr>
      <w:pStyle w:val="En-tte"/>
      <w:widowControl w:val="0"/>
      <w:autoSpaceDE w:val="0"/>
      <w:autoSpaceDN w:val="0"/>
      <w:adjustRightInd w:val="0"/>
      <w:ind w:right="360"/>
      <w:jc w:val="both"/>
      <w:rPr>
        <w:rFonts w:ascii="Calibri" w:hAnsi="Calibri" w:cs="Calibri"/>
        <w:i/>
        <w:sz w:val="20"/>
        <w:szCs w:val="20"/>
        <w:lang w:val="es-CO"/>
      </w:rPr>
    </w:pPr>
    <w:r w:rsidRPr="00785161">
      <w:rPr>
        <w:rFonts w:ascii="Calibri" w:hAnsi="Calibri" w:cs="Calibri"/>
        <w:i/>
        <w:szCs w:val="20"/>
        <w:lang w:val="es-CO"/>
      </w:rPr>
      <w:t>E</w:t>
    </w:r>
    <w:r w:rsidRPr="00785161">
      <w:rPr>
        <w:rFonts w:ascii="Calibri" w:hAnsi="Calibri" w:cs="Calibri"/>
        <w:i/>
        <w:sz w:val="20"/>
        <w:szCs w:val="20"/>
        <w:lang w:val="es-CO"/>
      </w:rPr>
      <w:t>XPEDIENTE N</w:t>
    </w:r>
    <w:r w:rsidR="00510CEA" w:rsidRPr="00785161">
      <w:rPr>
        <w:rFonts w:ascii="Calibri" w:hAnsi="Calibri" w:cs="Calibri"/>
        <w:i/>
        <w:sz w:val="20"/>
        <w:szCs w:val="20"/>
        <w:lang w:val="es-CO"/>
      </w:rPr>
      <w:t>o</w:t>
    </w:r>
    <w:r w:rsidRPr="00785161">
      <w:rPr>
        <w:rFonts w:ascii="Calibri" w:hAnsi="Calibri" w:cs="Calibri"/>
        <w:i/>
        <w:sz w:val="20"/>
        <w:szCs w:val="20"/>
        <w:lang w:val="es-CO"/>
      </w:rPr>
      <w:t>.20</w:t>
    </w:r>
    <w:r w:rsidR="00D811AA" w:rsidRPr="00785161">
      <w:rPr>
        <w:rFonts w:ascii="Calibri" w:hAnsi="Calibri" w:cs="Calibri"/>
        <w:i/>
        <w:sz w:val="20"/>
        <w:szCs w:val="20"/>
        <w:lang w:val="es-CO"/>
      </w:rPr>
      <w:t>1</w:t>
    </w:r>
    <w:r w:rsidR="00CB0F03">
      <w:rPr>
        <w:rFonts w:ascii="Calibri" w:hAnsi="Calibri" w:cs="Calibri"/>
        <w:i/>
        <w:sz w:val="20"/>
        <w:szCs w:val="20"/>
        <w:lang w:val="es-CO"/>
      </w:rPr>
      <w:t>4</w:t>
    </w:r>
    <w:r w:rsidR="00510CEA" w:rsidRPr="00785161">
      <w:rPr>
        <w:rFonts w:ascii="Calibri" w:hAnsi="Calibri" w:cs="Calibri"/>
        <w:i/>
        <w:sz w:val="20"/>
        <w:szCs w:val="20"/>
        <w:lang w:val="es-CO"/>
      </w:rPr>
      <w:t>-</w:t>
    </w:r>
    <w:r w:rsidRPr="00785161">
      <w:rPr>
        <w:rFonts w:ascii="Calibri" w:hAnsi="Calibri" w:cs="Calibri"/>
        <w:i/>
        <w:sz w:val="20"/>
        <w:szCs w:val="20"/>
        <w:lang w:val="es-CO"/>
      </w:rPr>
      <w:t>00</w:t>
    </w:r>
    <w:r w:rsidR="00CB0F03">
      <w:rPr>
        <w:rFonts w:ascii="Calibri" w:hAnsi="Calibri" w:cs="Calibri"/>
        <w:i/>
        <w:sz w:val="20"/>
        <w:szCs w:val="20"/>
        <w:lang w:val="es-CO"/>
      </w:rPr>
      <w:t>299-02</w:t>
    </w:r>
  </w:p>
  <w:p w:rsidR="00257B1F" w:rsidRPr="00785161" w:rsidRDefault="00257B1F" w:rsidP="00713068">
    <w:pPr>
      <w:pStyle w:val="En-tte"/>
      <w:ind w:right="360"/>
      <w:rPr>
        <w:rFonts w:ascii="Dotum" w:eastAsia="Dotum" w:hAnsi="Dotum"/>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1">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6">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7309FF"/>
    <w:multiLevelType w:val="multilevel"/>
    <w:tmpl w:val="5812256A"/>
    <w:lvl w:ilvl="0">
      <w:start w:val="4"/>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7334F69"/>
    <w:multiLevelType w:val="multilevel"/>
    <w:tmpl w:val="153CF966"/>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i w:val="0"/>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4">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8"/>
  </w:num>
  <w:num w:numId="3">
    <w:abstractNumId w:val="5"/>
  </w:num>
  <w:num w:numId="4">
    <w:abstractNumId w:val="11"/>
  </w:num>
  <w:num w:numId="5">
    <w:abstractNumId w:val="6"/>
  </w:num>
  <w:num w:numId="6">
    <w:abstractNumId w:val="1"/>
  </w:num>
  <w:num w:numId="7">
    <w:abstractNumId w:val="7"/>
  </w:num>
  <w:num w:numId="8">
    <w:abstractNumId w:val="3"/>
  </w:num>
  <w:num w:numId="9">
    <w:abstractNumId w:val="4"/>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4"/>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5004"/>
    <w:rsid w:val="000053E3"/>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D1A"/>
    <w:rsid w:val="0003030D"/>
    <w:rsid w:val="000317B0"/>
    <w:rsid w:val="000317B5"/>
    <w:rsid w:val="00031A51"/>
    <w:rsid w:val="00032507"/>
    <w:rsid w:val="0003263B"/>
    <w:rsid w:val="00032945"/>
    <w:rsid w:val="00032C87"/>
    <w:rsid w:val="0003326C"/>
    <w:rsid w:val="00033451"/>
    <w:rsid w:val="000338AF"/>
    <w:rsid w:val="00033D6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D36"/>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CD3"/>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EC"/>
    <w:rsid w:val="000853EC"/>
    <w:rsid w:val="0008540F"/>
    <w:rsid w:val="00085537"/>
    <w:rsid w:val="00085704"/>
    <w:rsid w:val="00085AEC"/>
    <w:rsid w:val="000869B2"/>
    <w:rsid w:val="00086C38"/>
    <w:rsid w:val="00086EBD"/>
    <w:rsid w:val="00087C52"/>
    <w:rsid w:val="000904D1"/>
    <w:rsid w:val="00091736"/>
    <w:rsid w:val="00091D87"/>
    <w:rsid w:val="00091E45"/>
    <w:rsid w:val="00091E7D"/>
    <w:rsid w:val="00092740"/>
    <w:rsid w:val="00092B5E"/>
    <w:rsid w:val="00092D49"/>
    <w:rsid w:val="00093241"/>
    <w:rsid w:val="00094033"/>
    <w:rsid w:val="000941F0"/>
    <w:rsid w:val="0009555C"/>
    <w:rsid w:val="000956FC"/>
    <w:rsid w:val="00095C48"/>
    <w:rsid w:val="0009744A"/>
    <w:rsid w:val="000A0895"/>
    <w:rsid w:val="000A0955"/>
    <w:rsid w:val="000A1384"/>
    <w:rsid w:val="000A1E7A"/>
    <w:rsid w:val="000A371D"/>
    <w:rsid w:val="000A3884"/>
    <w:rsid w:val="000A41AD"/>
    <w:rsid w:val="000A448D"/>
    <w:rsid w:val="000A5EE4"/>
    <w:rsid w:val="000A60E4"/>
    <w:rsid w:val="000A65AC"/>
    <w:rsid w:val="000A6933"/>
    <w:rsid w:val="000A6B58"/>
    <w:rsid w:val="000A6BE7"/>
    <w:rsid w:val="000A6D3E"/>
    <w:rsid w:val="000A7216"/>
    <w:rsid w:val="000A732B"/>
    <w:rsid w:val="000A7352"/>
    <w:rsid w:val="000A7458"/>
    <w:rsid w:val="000B01EA"/>
    <w:rsid w:val="000B0813"/>
    <w:rsid w:val="000B0B19"/>
    <w:rsid w:val="000B14C4"/>
    <w:rsid w:val="000B1802"/>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7C"/>
    <w:rsid w:val="000C4F5A"/>
    <w:rsid w:val="000C4FD8"/>
    <w:rsid w:val="000C5410"/>
    <w:rsid w:val="000C5CD2"/>
    <w:rsid w:val="000C5F81"/>
    <w:rsid w:val="000C6F28"/>
    <w:rsid w:val="000C6FEE"/>
    <w:rsid w:val="000C74C4"/>
    <w:rsid w:val="000C7B65"/>
    <w:rsid w:val="000C7B99"/>
    <w:rsid w:val="000C7BA1"/>
    <w:rsid w:val="000C7E0C"/>
    <w:rsid w:val="000D0046"/>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D74"/>
    <w:rsid w:val="000E4FCB"/>
    <w:rsid w:val="000E56DA"/>
    <w:rsid w:val="000E59B3"/>
    <w:rsid w:val="000E5A14"/>
    <w:rsid w:val="000E5A59"/>
    <w:rsid w:val="000E61B7"/>
    <w:rsid w:val="000E65D2"/>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40C6"/>
    <w:rsid w:val="000F40FB"/>
    <w:rsid w:val="000F41AC"/>
    <w:rsid w:val="000F59B9"/>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52A2"/>
    <w:rsid w:val="00125CD0"/>
    <w:rsid w:val="00126142"/>
    <w:rsid w:val="00126581"/>
    <w:rsid w:val="001272B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28"/>
    <w:rsid w:val="00146358"/>
    <w:rsid w:val="00146ACF"/>
    <w:rsid w:val="00146C5F"/>
    <w:rsid w:val="00146F85"/>
    <w:rsid w:val="00147398"/>
    <w:rsid w:val="00150186"/>
    <w:rsid w:val="00150A42"/>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50F"/>
    <w:rsid w:val="00174C82"/>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428D"/>
    <w:rsid w:val="001A47EA"/>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544"/>
    <w:rsid w:val="001B6123"/>
    <w:rsid w:val="001B61AC"/>
    <w:rsid w:val="001B6FAC"/>
    <w:rsid w:val="001B7D66"/>
    <w:rsid w:val="001C0755"/>
    <w:rsid w:val="001C0848"/>
    <w:rsid w:val="001C0EBF"/>
    <w:rsid w:val="001C12F1"/>
    <w:rsid w:val="001C1B1E"/>
    <w:rsid w:val="001C1C57"/>
    <w:rsid w:val="001C2224"/>
    <w:rsid w:val="001C2348"/>
    <w:rsid w:val="001C2866"/>
    <w:rsid w:val="001C30B3"/>
    <w:rsid w:val="001C31C4"/>
    <w:rsid w:val="001C3426"/>
    <w:rsid w:val="001C3EEA"/>
    <w:rsid w:val="001C42D3"/>
    <w:rsid w:val="001C527C"/>
    <w:rsid w:val="001C55EF"/>
    <w:rsid w:val="001C6B35"/>
    <w:rsid w:val="001C6E55"/>
    <w:rsid w:val="001D046E"/>
    <w:rsid w:val="001D0ABB"/>
    <w:rsid w:val="001D0D37"/>
    <w:rsid w:val="001D109C"/>
    <w:rsid w:val="001D1B5E"/>
    <w:rsid w:val="001D2638"/>
    <w:rsid w:val="001D2742"/>
    <w:rsid w:val="001D28CE"/>
    <w:rsid w:val="001D3297"/>
    <w:rsid w:val="001D36DF"/>
    <w:rsid w:val="001D3CAA"/>
    <w:rsid w:val="001D42E3"/>
    <w:rsid w:val="001D47CF"/>
    <w:rsid w:val="001D4854"/>
    <w:rsid w:val="001D4D4A"/>
    <w:rsid w:val="001D51A9"/>
    <w:rsid w:val="001D61AF"/>
    <w:rsid w:val="001D62B8"/>
    <w:rsid w:val="001D6CB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77A"/>
    <w:rsid w:val="001E4918"/>
    <w:rsid w:val="001E6124"/>
    <w:rsid w:val="001E65FE"/>
    <w:rsid w:val="001E6736"/>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5077"/>
    <w:rsid w:val="001F5577"/>
    <w:rsid w:val="001F55C5"/>
    <w:rsid w:val="001F5B4D"/>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A4B"/>
    <w:rsid w:val="00221DF3"/>
    <w:rsid w:val="002230CC"/>
    <w:rsid w:val="00223951"/>
    <w:rsid w:val="00223E64"/>
    <w:rsid w:val="002253A7"/>
    <w:rsid w:val="002259B8"/>
    <w:rsid w:val="00225F6D"/>
    <w:rsid w:val="002265E9"/>
    <w:rsid w:val="002266C1"/>
    <w:rsid w:val="0022693F"/>
    <w:rsid w:val="00226B30"/>
    <w:rsid w:val="002300A9"/>
    <w:rsid w:val="002307F0"/>
    <w:rsid w:val="002309E0"/>
    <w:rsid w:val="00230D7E"/>
    <w:rsid w:val="00230EE8"/>
    <w:rsid w:val="00232684"/>
    <w:rsid w:val="00232E74"/>
    <w:rsid w:val="0023347A"/>
    <w:rsid w:val="00233798"/>
    <w:rsid w:val="002337B2"/>
    <w:rsid w:val="00233F22"/>
    <w:rsid w:val="00234518"/>
    <w:rsid w:val="00234D08"/>
    <w:rsid w:val="00234E55"/>
    <w:rsid w:val="00234F3B"/>
    <w:rsid w:val="002350C9"/>
    <w:rsid w:val="002356B3"/>
    <w:rsid w:val="00235CD3"/>
    <w:rsid w:val="0023657D"/>
    <w:rsid w:val="00237DA0"/>
    <w:rsid w:val="002400B4"/>
    <w:rsid w:val="002407B2"/>
    <w:rsid w:val="00240A93"/>
    <w:rsid w:val="00241921"/>
    <w:rsid w:val="00241A36"/>
    <w:rsid w:val="00241D1E"/>
    <w:rsid w:val="00242293"/>
    <w:rsid w:val="00242CFE"/>
    <w:rsid w:val="00243174"/>
    <w:rsid w:val="0024383A"/>
    <w:rsid w:val="002442C4"/>
    <w:rsid w:val="00244552"/>
    <w:rsid w:val="00245383"/>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FBB"/>
    <w:rsid w:val="00272DA6"/>
    <w:rsid w:val="00273D7B"/>
    <w:rsid w:val="0027439D"/>
    <w:rsid w:val="00274C8B"/>
    <w:rsid w:val="00274CB6"/>
    <w:rsid w:val="002755FA"/>
    <w:rsid w:val="00275A9D"/>
    <w:rsid w:val="002767AA"/>
    <w:rsid w:val="00276A65"/>
    <w:rsid w:val="00276C3E"/>
    <w:rsid w:val="00276E66"/>
    <w:rsid w:val="002771A8"/>
    <w:rsid w:val="00277831"/>
    <w:rsid w:val="00280089"/>
    <w:rsid w:val="00280606"/>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CFB"/>
    <w:rsid w:val="00295DB6"/>
    <w:rsid w:val="00295F30"/>
    <w:rsid w:val="0029623E"/>
    <w:rsid w:val="00296730"/>
    <w:rsid w:val="00296CF1"/>
    <w:rsid w:val="0029735F"/>
    <w:rsid w:val="0029799D"/>
    <w:rsid w:val="002979FE"/>
    <w:rsid w:val="00297DFF"/>
    <w:rsid w:val="002A0366"/>
    <w:rsid w:val="002A067F"/>
    <w:rsid w:val="002A1079"/>
    <w:rsid w:val="002A1233"/>
    <w:rsid w:val="002A21BF"/>
    <w:rsid w:val="002A2E4B"/>
    <w:rsid w:val="002A2E5E"/>
    <w:rsid w:val="002A2ECB"/>
    <w:rsid w:val="002A31E3"/>
    <w:rsid w:val="002A3A64"/>
    <w:rsid w:val="002A3EF5"/>
    <w:rsid w:val="002A456E"/>
    <w:rsid w:val="002A536A"/>
    <w:rsid w:val="002A56EE"/>
    <w:rsid w:val="002A58C5"/>
    <w:rsid w:val="002A5C13"/>
    <w:rsid w:val="002A5FBB"/>
    <w:rsid w:val="002A611E"/>
    <w:rsid w:val="002A6705"/>
    <w:rsid w:val="002A6C2E"/>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D5F"/>
    <w:rsid w:val="002C3259"/>
    <w:rsid w:val="002C3275"/>
    <w:rsid w:val="002C34A1"/>
    <w:rsid w:val="002C369D"/>
    <w:rsid w:val="002C3A7B"/>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661A"/>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E82"/>
    <w:rsid w:val="00313330"/>
    <w:rsid w:val="00313584"/>
    <w:rsid w:val="00314F5B"/>
    <w:rsid w:val="0031552B"/>
    <w:rsid w:val="0031561E"/>
    <w:rsid w:val="00315759"/>
    <w:rsid w:val="00315E8D"/>
    <w:rsid w:val="0031617F"/>
    <w:rsid w:val="003176BE"/>
    <w:rsid w:val="00317875"/>
    <w:rsid w:val="003200C5"/>
    <w:rsid w:val="003201EE"/>
    <w:rsid w:val="003202E9"/>
    <w:rsid w:val="0032091F"/>
    <w:rsid w:val="00320C41"/>
    <w:rsid w:val="00320EF2"/>
    <w:rsid w:val="00321488"/>
    <w:rsid w:val="00321A14"/>
    <w:rsid w:val="00321D58"/>
    <w:rsid w:val="00321F83"/>
    <w:rsid w:val="003224B1"/>
    <w:rsid w:val="00322ADD"/>
    <w:rsid w:val="003235F9"/>
    <w:rsid w:val="00324C01"/>
    <w:rsid w:val="00324E7B"/>
    <w:rsid w:val="003253F7"/>
    <w:rsid w:val="00325608"/>
    <w:rsid w:val="003257F9"/>
    <w:rsid w:val="00326248"/>
    <w:rsid w:val="00326B09"/>
    <w:rsid w:val="0032727E"/>
    <w:rsid w:val="003272E4"/>
    <w:rsid w:val="00327631"/>
    <w:rsid w:val="00327BE4"/>
    <w:rsid w:val="00330219"/>
    <w:rsid w:val="00330F71"/>
    <w:rsid w:val="00331287"/>
    <w:rsid w:val="00331298"/>
    <w:rsid w:val="00331A7B"/>
    <w:rsid w:val="00332974"/>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75A"/>
    <w:rsid w:val="00352A58"/>
    <w:rsid w:val="00352A9B"/>
    <w:rsid w:val="00352B27"/>
    <w:rsid w:val="003535AF"/>
    <w:rsid w:val="00354452"/>
    <w:rsid w:val="00354BDD"/>
    <w:rsid w:val="003552B2"/>
    <w:rsid w:val="003554CE"/>
    <w:rsid w:val="00355634"/>
    <w:rsid w:val="00355665"/>
    <w:rsid w:val="00356104"/>
    <w:rsid w:val="003562DD"/>
    <w:rsid w:val="003572D1"/>
    <w:rsid w:val="00357B72"/>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9FB"/>
    <w:rsid w:val="00383F3B"/>
    <w:rsid w:val="00383F8A"/>
    <w:rsid w:val="003865AF"/>
    <w:rsid w:val="00387718"/>
    <w:rsid w:val="0038775D"/>
    <w:rsid w:val="00387F7D"/>
    <w:rsid w:val="003900A5"/>
    <w:rsid w:val="00391C0B"/>
    <w:rsid w:val="00391EDF"/>
    <w:rsid w:val="003923B8"/>
    <w:rsid w:val="003925E7"/>
    <w:rsid w:val="003938DC"/>
    <w:rsid w:val="003939AC"/>
    <w:rsid w:val="00394209"/>
    <w:rsid w:val="00394306"/>
    <w:rsid w:val="00394C90"/>
    <w:rsid w:val="0039508D"/>
    <w:rsid w:val="00395A55"/>
    <w:rsid w:val="00395B39"/>
    <w:rsid w:val="00395E68"/>
    <w:rsid w:val="00397083"/>
    <w:rsid w:val="00397223"/>
    <w:rsid w:val="0039799F"/>
    <w:rsid w:val="003A0260"/>
    <w:rsid w:val="003A0379"/>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AF8"/>
    <w:rsid w:val="003B1C29"/>
    <w:rsid w:val="003B24D9"/>
    <w:rsid w:val="003B2611"/>
    <w:rsid w:val="003B2941"/>
    <w:rsid w:val="003B2C4D"/>
    <w:rsid w:val="003B2E27"/>
    <w:rsid w:val="003B31CA"/>
    <w:rsid w:val="003B334D"/>
    <w:rsid w:val="003B3EF6"/>
    <w:rsid w:val="003B4FA2"/>
    <w:rsid w:val="003B534A"/>
    <w:rsid w:val="003B59A2"/>
    <w:rsid w:val="003B5B9B"/>
    <w:rsid w:val="003B5D9F"/>
    <w:rsid w:val="003B61EC"/>
    <w:rsid w:val="003B6DA9"/>
    <w:rsid w:val="003B6E01"/>
    <w:rsid w:val="003B7119"/>
    <w:rsid w:val="003B7C3D"/>
    <w:rsid w:val="003C00F7"/>
    <w:rsid w:val="003C054A"/>
    <w:rsid w:val="003C06A1"/>
    <w:rsid w:val="003C0D75"/>
    <w:rsid w:val="003C1247"/>
    <w:rsid w:val="003C18FB"/>
    <w:rsid w:val="003C1BEB"/>
    <w:rsid w:val="003C301C"/>
    <w:rsid w:val="003C3258"/>
    <w:rsid w:val="003C395E"/>
    <w:rsid w:val="003C3A3A"/>
    <w:rsid w:val="003C4B41"/>
    <w:rsid w:val="003C4E05"/>
    <w:rsid w:val="003C4F84"/>
    <w:rsid w:val="003C5E61"/>
    <w:rsid w:val="003C6A61"/>
    <w:rsid w:val="003C6B64"/>
    <w:rsid w:val="003C6D34"/>
    <w:rsid w:val="003C773D"/>
    <w:rsid w:val="003C779C"/>
    <w:rsid w:val="003D00DF"/>
    <w:rsid w:val="003D0D03"/>
    <w:rsid w:val="003D1576"/>
    <w:rsid w:val="003D1B66"/>
    <w:rsid w:val="003D1BB9"/>
    <w:rsid w:val="003D1BF2"/>
    <w:rsid w:val="003D242E"/>
    <w:rsid w:val="003D279C"/>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E3"/>
    <w:rsid w:val="004040C7"/>
    <w:rsid w:val="004043DA"/>
    <w:rsid w:val="00404BBB"/>
    <w:rsid w:val="00404E95"/>
    <w:rsid w:val="00405108"/>
    <w:rsid w:val="004054A1"/>
    <w:rsid w:val="00405BD3"/>
    <w:rsid w:val="00405C64"/>
    <w:rsid w:val="0040662E"/>
    <w:rsid w:val="004077F3"/>
    <w:rsid w:val="0041059C"/>
    <w:rsid w:val="00410995"/>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4369"/>
    <w:rsid w:val="004248CE"/>
    <w:rsid w:val="00424E88"/>
    <w:rsid w:val="00424EF6"/>
    <w:rsid w:val="00425297"/>
    <w:rsid w:val="004254A0"/>
    <w:rsid w:val="00425880"/>
    <w:rsid w:val="004259FD"/>
    <w:rsid w:val="00425A14"/>
    <w:rsid w:val="004261FA"/>
    <w:rsid w:val="0042661D"/>
    <w:rsid w:val="00426A18"/>
    <w:rsid w:val="00427436"/>
    <w:rsid w:val="00427C91"/>
    <w:rsid w:val="004302E8"/>
    <w:rsid w:val="00430F69"/>
    <w:rsid w:val="0043114B"/>
    <w:rsid w:val="00431334"/>
    <w:rsid w:val="004314C5"/>
    <w:rsid w:val="00431F3D"/>
    <w:rsid w:val="0043251B"/>
    <w:rsid w:val="004342D0"/>
    <w:rsid w:val="00434A69"/>
    <w:rsid w:val="00434EC2"/>
    <w:rsid w:val="004371CD"/>
    <w:rsid w:val="00437B20"/>
    <w:rsid w:val="00440422"/>
    <w:rsid w:val="004406E4"/>
    <w:rsid w:val="0044109B"/>
    <w:rsid w:val="00441A24"/>
    <w:rsid w:val="00441D14"/>
    <w:rsid w:val="004422B5"/>
    <w:rsid w:val="00443071"/>
    <w:rsid w:val="004437EE"/>
    <w:rsid w:val="00443D4F"/>
    <w:rsid w:val="00444601"/>
    <w:rsid w:val="004448A2"/>
    <w:rsid w:val="00445065"/>
    <w:rsid w:val="00445442"/>
    <w:rsid w:val="00445B90"/>
    <w:rsid w:val="00445C02"/>
    <w:rsid w:val="00445E60"/>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B99"/>
    <w:rsid w:val="00470332"/>
    <w:rsid w:val="0047043C"/>
    <w:rsid w:val="004709F5"/>
    <w:rsid w:val="00471C68"/>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FA1"/>
    <w:rsid w:val="004A508A"/>
    <w:rsid w:val="004A6A66"/>
    <w:rsid w:val="004A6D27"/>
    <w:rsid w:val="004A7356"/>
    <w:rsid w:val="004A7911"/>
    <w:rsid w:val="004A795F"/>
    <w:rsid w:val="004B0129"/>
    <w:rsid w:val="004B0EAC"/>
    <w:rsid w:val="004B2B8B"/>
    <w:rsid w:val="004B2E93"/>
    <w:rsid w:val="004B31AE"/>
    <w:rsid w:val="004B3C44"/>
    <w:rsid w:val="004B3CC3"/>
    <w:rsid w:val="004B4843"/>
    <w:rsid w:val="004B48E3"/>
    <w:rsid w:val="004B4B77"/>
    <w:rsid w:val="004B5616"/>
    <w:rsid w:val="004B58B4"/>
    <w:rsid w:val="004B5D72"/>
    <w:rsid w:val="004B6555"/>
    <w:rsid w:val="004B6CBB"/>
    <w:rsid w:val="004B6DC8"/>
    <w:rsid w:val="004B7EB8"/>
    <w:rsid w:val="004B7F63"/>
    <w:rsid w:val="004C0B1C"/>
    <w:rsid w:val="004C0CDE"/>
    <w:rsid w:val="004C0D44"/>
    <w:rsid w:val="004C1B78"/>
    <w:rsid w:val="004C1BF5"/>
    <w:rsid w:val="004C202A"/>
    <w:rsid w:val="004C2415"/>
    <w:rsid w:val="004C25C8"/>
    <w:rsid w:val="004C3825"/>
    <w:rsid w:val="004C5C99"/>
    <w:rsid w:val="004C6293"/>
    <w:rsid w:val="004C6617"/>
    <w:rsid w:val="004C6F31"/>
    <w:rsid w:val="004C6F83"/>
    <w:rsid w:val="004C79BF"/>
    <w:rsid w:val="004D0ED2"/>
    <w:rsid w:val="004D113A"/>
    <w:rsid w:val="004D1C76"/>
    <w:rsid w:val="004D1F05"/>
    <w:rsid w:val="004D2025"/>
    <w:rsid w:val="004D35D9"/>
    <w:rsid w:val="004D3925"/>
    <w:rsid w:val="004D3BA7"/>
    <w:rsid w:val="004D3E0A"/>
    <w:rsid w:val="004D4158"/>
    <w:rsid w:val="004D476B"/>
    <w:rsid w:val="004D480B"/>
    <w:rsid w:val="004D5B48"/>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50A"/>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7A9"/>
    <w:rsid w:val="00516A7B"/>
    <w:rsid w:val="00516C06"/>
    <w:rsid w:val="00516D05"/>
    <w:rsid w:val="0051757E"/>
    <w:rsid w:val="005179DF"/>
    <w:rsid w:val="00517BAB"/>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A8F"/>
    <w:rsid w:val="005334F0"/>
    <w:rsid w:val="005343E7"/>
    <w:rsid w:val="00534DF8"/>
    <w:rsid w:val="005355CE"/>
    <w:rsid w:val="00535C2F"/>
    <w:rsid w:val="00535DB2"/>
    <w:rsid w:val="005368B0"/>
    <w:rsid w:val="005373CE"/>
    <w:rsid w:val="005373FC"/>
    <w:rsid w:val="005404A8"/>
    <w:rsid w:val="00541070"/>
    <w:rsid w:val="00541987"/>
    <w:rsid w:val="00541CF0"/>
    <w:rsid w:val="00541DDA"/>
    <w:rsid w:val="005422C0"/>
    <w:rsid w:val="0054255A"/>
    <w:rsid w:val="005428CA"/>
    <w:rsid w:val="005428DD"/>
    <w:rsid w:val="00542917"/>
    <w:rsid w:val="00542A7D"/>
    <w:rsid w:val="00542AFC"/>
    <w:rsid w:val="00542EB4"/>
    <w:rsid w:val="00543345"/>
    <w:rsid w:val="005436EB"/>
    <w:rsid w:val="00543723"/>
    <w:rsid w:val="0054380D"/>
    <w:rsid w:val="00543ACF"/>
    <w:rsid w:val="00544177"/>
    <w:rsid w:val="00544580"/>
    <w:rsid w:val="00544DF6"/>
    <w:rsid w:val="00544E57"/>
    <w:rsid w:val="005451EA"/>
    <w:rsid w:val="005459EA"/>
    <w:rsid w:val="00545D71"/>
    <w:rsid w:val="00546138"/>
    <w:rsid w:val="00546604"/>
    <w:rsid w:val="0054781B"/>
    <w:rsid w:val="00547E8F"/>
    <w:rsid w:val="00550069"/>
    <w:rsid w:val="005502C4"/>
    <w:rsid w:val="005502F3"/>
    <w:rsid w:val="005509C4"/>
    <w:rsid w:val="00551014"/>
    <w:rsid w:val="00551B79"/>
    <w:rsid w:val="00551E08"/>
    <w:rsid w:val="00552514"/>
    <w:rsid w:val="0055286A"/>
    <w:rsid w:val="00552889"/>
    <w:rsid w:val="0055298F"/>
    <w:rsid w:val="00552990"/>
    <w:rsid w:val="00552CCD"/>
    <w:rsid w:val="00553486"/>
    <w:rsid w:val="00553E21"/>
    <w:rsid w:val="00554870"/>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3DF2"/>
    <w:rsid w:val="0056412E"/>
    <w:rsid w:val="005643D0"/>
    <w:rsid w:val="00564879"/>
    <w:rsid w:val="005650F1"/>
    <w:rsid w:val="0056513B"/>
    <w:rsid w:val="00565A50"/>
    <w:rsid w:val="00565E05"/>
    <w:rsid w:val="00567270"/>
    <w:rsid w:val="005678F6"/>
    <w:rsid w:val="00570E8B"/>
    <w:rsid w:val="005714F2"/>
    <w:rsid w:val="00571A5A"/>
    <w:rsid w:val="00571D59"/>
    <w:rsid w:val="005722FC"/>
    <w:rsid w:val="00572331"/>
    <w:rsid w:val="00572344"/>
    <w:rsid w:val="00572358"/>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0BC4"/>
    <w:rsid w:val="00581B8F"/>
    <w:rsid w:val="00581DE3"/>
    <w:rsid w:val="0058241A"/>
    <w:rsid w:val="0058265A"/>
    <w:rsid w:val="005828DC"/>
    <w:rsid w:val="00583A36"/>
    <w:rsid w:val="00584334"/>
    <w:rsid w:val="00584851"/>
    <w:rsid w:val="00584C26"/>
    <w:rsid w:val="005851A0"/>
    <w:rsid w:val="00585D0B"/>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B03D1"/>
    <w:rsid w:val="005B13F9"/>
    <w:rsid w:val="005B2160"/>
    <w:rsid w:val="005B30EE"/>
    <w:rsid w:val="005B3A96"/>
    <w:rsid w:val="005B3CD4"/>
    <w:rsid w:val="005B4046"/>
    <w:rsid w:val="005B4271"/>
    <w:rsid w:val="005B446F"/>
    <w:rsid w:val="005B4676"/>
    <w:rsid w:val="005B4A7C"/>
    <w:rsid w:val="005B5152"/>
    <w:rsid w:val="005B56C8"/>
    <w:rsid w:val="005B584A"/>
    <w:rsid w:val="005B5A4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4CC7"/>
    <w:rsid w:val="005E5416"/>
    <w:rsid w:val="005E5595"/>
    <w:rsid w:val="005E5775"/>
    <w:rsid w:val="005E5845"/>
    <w:rsid w:val="005E5BC3"/>
    <w:rsid w:val="005E5C62"/>
    <w:rsid w:val="005E5D7F"/>
    <w:rsid w:val="005E5E1F"/>
    <w:rsid w:val="005E5EEB"/>
    <w:rsid w:val="005E6D0D"/>
    <w:rsid w:val="005E6FED"/>
    <w:rsid w:val="005E7339"/>
    <w:rsid w:val="005E73D3"/>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1050D"/>
    <w:rsid w:val="00610560"/>
    <w:rsid w:val="006106D7"/>
    <w:rsid w:val="00610899"/>
    <w:rsid w:val="00612431"/>
    <w:rsid w:val="0061288C"/>
    <w:rsid w:val="00612F73"/>
    <w:rsid w:val="006134AF"/>
    <w:rsid w:val="006134F7"/>
    <w:rsid w:val="00613FE7"/>
    <w:rsid w:val="006143F1"/>
    <w:rsid w:val="0061443B"/>
    <w:rsid w:val="00615CB5"/>
    <w:rsid w:val="00615E24"/>
    <w:rsid w:val="00615E78"/>
    <w:rsid w:val="006166BC"/>
    <w:rsid w:val="0061695C"/>
    <w:rsid w:val="00616FB7"/>
    <w:rsid w:val="006171E9"/>
    <w:rsid w:val="0062118B"/>
    <w:rsid w:val="006218E5"/>
    <w:rsid w:val="00622457"/>
    <w:rsid w:val="0062248F"/>
    <w:rsid w:val="0062280C"/>
    <w:rsid w:val="0062294B"/>
    <w:rsid w:val="00623C34"/>
    <w:rsid w:val="00624829"/>
    <w:rsid w:val="00625A0D"/>
    <w:rsid w:val="00625A53"/>
    <w:rsid w:val="00626203"/>
    <w:rsid w:val="00626C84"/>
    <w:rsid w:val="00626D97"/>
    <w:rsid w:val="00630209"/>
    <w:rsid w:val="006309A4"/>
    <w:rsid w:val="00630C69"/>
    <w:rsid w:val="00630EB9"/>
    <w:rsid w:val="0063120E"/>
    <w:rsid w:val="006315E3"/>
    <w:rsid w:val="006322D8"/>
    <w:rsid w:val="00633FB2"/>
    <w:rsid w:val="00634843"/>
    <w:rsid w:val="00634B3C"/>
    <w:rsid w:val="006352A4"/>
    <w:rsid w:val="0063533C"/>
    <w:rsid w:val="00635400"/>
    <w:rsid w:val="00635B8B"/>
    <w:rsid w:val="00635CE3"/>
    <w:rsid w:val="00636398"/>
    <w:rsid w:val="00636EC2"/>
    <w:rsid w:val="006400BA"/>
    <w:rsid w:val="006402F3"/>
    <w:rsid w:val="0064099F"/>
    <w:rsid w:val="00641027"/>
    <w:rsid w:val="006412EC"/>
    <w:rsid w:val="006415A4"/>
    <w:rsid w:val="0064163E"/>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D7"/>
    <w:rsid w:val="00672903"/>
    <w:rsid w:val="00673420"/>
    <w:rsid w:val="00673DF0"/>
    <w:rsid w:val="00673F48"/>
    <w:rsid w:val="00674A6B"/>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7351"/>
    <w:rsid w:val="00687D44"/>
    <w:rsid w:val="00690C74"/>
    <w:rsid w:val="00691139"/>
    <w:rsid w:val="00691315"/>
    <w:rsid w:val="0069265E"/>
    <w:rsid w:val="00693FC9"/>
    <w:rsid w:val="006966A1"/>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53B"/>
    <w:rsid w:val="006A68B9"/>
    <w:rsid w:val="006A6F28"/>
    <w:rsid w:val="006A7CED"/>
    <w:rsid w:val="006A7D7C"/>
    <w:rsid w:val="006A7F66"/>
    <w:rsid w:val="006A7FDB"/>
    <w:rsid w:val="006B0AF8"/>
    <w:rsid w:val="006B10D8"/>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C88"/>
    <w:rsid w:val="006C2E0C"/>
    <w:rsid w:val="006C2F54"/>
    <w:rsid w:val="006C32AE"/>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B80"/>
    <w:rsid w:val="006D3EF6"/>
    <w:rsid w:val="006D43F9"/>
    <w:rsid w:val="006D47EA"/>
    <w:rsid w:val="006D49E8"/>
    <w:rsid w:val="006D4FB1"/>
    <w:rsid w:val="006D585D"/>
    <w:rsid w:val="006D6476"/>
    <w:rsid w:val="006E084A"/>
    <w:rsid w:val="006E1135"/>
    <w:rsid w:val="006E12B7"/>
    <w:rsid w:val="006E1A62"/>
    <w:rsid w:val="006E28D7"/>
    <w:rsid w:val="006E2922"/>
    <w:rsid w:val="006E2B56"/>
    <w:rsid w:val="006E2C5D"/>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B0F"/>
    <w:rsid w:val="00713068"/>
    <w:rsid w:val="00714178"/>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A0E"/>
    <w:rsid w:val="00774B65"/>
    <w:rsid w:val="0077506C"/>
    <w:rsid w:val="007751D3"/>
    <w:rsid w:val="00775C12"/>
    <w:rsid w:val="00775DF5"/>
    <w:rsid w:val="00775F6B"/>
    <w:rsid w:val="00776073"/>
    <w:rsid w:val="00776B7D"/>
    <w:rsid w:val="00776EDB"/>
    <w:rsid w:val="0077702F"/>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2472"/>
    <w:rsid w:val="007A27C9"/>
    <w:rsid w:val="007A29BF"/>
    <w:rsid w:val="007A2AF5"/>
    <w:rsid w:val="007A2C9D"/>
    <w:rsid w:val="007A3318"/>
    <w:rsid w:val="007A35C2"/>
    <w:rsid w:val="007A38D0"/>
    <w:rsid w:val="007A4190"/>
    <w:rsid w:val="007A42FF"/>
    <w:rsid w:val="007A57E3"/>
    <w:rsid w:val="007A67BD"/>
    <w:rsid w:val="007A69D5"/>
    <w:rsid w:val="007A74C5"/>
    <w:rsid w:val="007A7651"/>
    <w:rsid w:val="007A7EC2"/>
    <w:rsid w:val="007B11CF"/>
    <w:rsid w:val="007B1730"/>
    <w:rsid w:val="007B2483"/>
    <w:rsid w:val="007B257D"/>
    <w:rsid w:val="007B2845"/>
    <w:rsid w:val="007B2A75"/>
    <w:rsid w:val="007B3244"/>
    <w:rsid w:val="007B4316"/>
    <w:rsid w:val="007B56B9"/>
    <w:rsid w:val="007B579F"/>
    <w:rsid w:val="007B59E7"/>
    <w:rsid w:val="007B5BC6"/>
    <w:rsid w:val="007B5CE9"/>
    <w:rsid w:val="007B7AB4"/>
    <w:rsid w:val="007B7D1B"/>
    <w:rsid w:val="007C0021"/>
    <w:rsid w:val="007C0AF0"/>
    <w:rsid w:val="007C0FC6"/>
    <w:rsid w:val="007C14D2"/>
    <w:rsid w:val="007C278C"/>
    <w:rsid w:val="007C2B20"/>
    <w:rsid w:val="007C2E92"/>
    <w:rsid w:val="007C331E"/>
    <w:rsid w:val="007C3735"/>
    <w:rsid w:val="007C38A7"/>
    <w:rsid w:val="007C615C"/>
    <w:rsid w:val="007C6173"/>
    <w:rsid w:val="007C63A4"/>
    <w:rsid w:val="007C63AF"/>
    <w:rsid w:val="007C64F8"/>
    <w:rsid w:val="007C6750"/>
    <w:rsid w:val="007C6ABA"/>
    <w:rsid w:val="007C6C7C"/>
    <w:rsid w:val="007C7757"/>
    <w:rsid w:val="007C7FC0"/>
    <w:rsid w:val="007D011E"/>
    <w:rsid w:val="007D047F"/>
    <w:rsid w:val="007D0731"/>
    <w:rsid w:val="007D0DBC"/>
    <w:rsid w:val="007D1415"/>
    <w:rsid w:val="007D2A88"/>
    <w:rsid w:val="007D3015"/>
    <w:rsid w:val="007D301E"/>
    <w:rsid w:val="007D4E7F"/>
    <w:rsid w:val="007D6632"/>
    <w:rsid w:val="007D6F56"/>
    <w:rsid w:val="007D7A35"/>
    <w:rsid w:val="007E0CAF"/>
    <w:rsid w:val="007E1499"/>
    <w:rsid w:val="007E18C3"/>
    <w:rsid w:val="007E1A8F"/>
    <w:rsid w:val="007E25FC"/>
    <w:rsid w:val="007E2996"/>
    <w:rsid w:val="007E344C"/>
    <w:rsid w:val="007E4208"/>
    <w:rsid w:val="007E42BA"/>
    <w:rsid w:val="007E437C"/>
    <w:rsid w:val="007E4A92"/>
    <w:rsid w:val="007E52DE"/>
    <w:rsid w:val="007E6128"/>
    <w:rsid w:val="007E671D"/>
    <w:rsid w:val="007E72BD"/>
    <w:rsid w:val="007E73D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E9D"/>
    <w:rsid w:val="00812F84"/>
    <w:rsid w:val="00812FD3"/>
    <w:rsid w:val="00813045"/>
    <w:rsid w:val="008131FE"/>
    <w:rsid w:val="0081410F"/>
    <w:rsid w:val="008148AA"/>
    <w:rsid w:val="00814F7E"/>
    <w:rsid w:val="00815080"/>
    <w:rsid w:val="0081738A"/>
    <w:rsid w:val="00817782"/>
    <w:rsid w:val="00817E82"/>
    <w:rsid w:val="00817F3F"/>
    <w:rsid w:val="00817FC8"/>
    <w:rsid w:val="00817FEA"/>
    <w:rsid w:val="0082044F"/>
    <w:rsid w:val="0082082A"/>
    <w:rsid w:val="008209A4"/>
    <w:rsid w:val="00821062"/>
    <w:rsid w:val="00821973"/>
    <w:rsid w:val="008223AB"/>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B5"/>
    <w:rsid w:val="0083118E"/>
    <w:rsid w:val="00832572"/>
    <w:rsid w:val="00832A22"/>
    <w:rsid w:val="00832D16"/>
    <w:rsid w:val="008336D2"/>
    <w:rsid w:val="0083373F"/>
    <w:rsid w:val="008337B5"/>
    <w:rsid w:val="0083384B"/>
    <w:rsid w:val="0083392F"/>
    <w:rsid w:val="00834BDE"/>
    <w:rsid w:val="00834C83"/>
    <w:rsid w:val="00835B87"/>
    <w:rsid w:val="0083622F"/>
    <w:rsid w:val="00836869"/>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DD2"/>
    <w:rsid w:val="00856FC7"/>
    <w:rsid w:val="0085735B"/>
    <w:rsid w:val="0085780A"/>
    <w:rsid w:val="0085789C"/>
    <w:rsid w:val="00857D25"/>
    <w:rsid w:val="0086023D"/>
    <w:rsid w:val="008603FB"/>
    <w:rsid w:val="0086132E"/>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764"/>
    <w:rsid w:val="008A186C"/>
    <w:rsid w:val="008A2305"/>
    <w:rsid w:val="008A2D4F"/>
    <w:rsid w:val="008A3114"/>
    <w:rsid w:val="008A340B"/>
    <w:rsid w:val="008A35C1"/>
    <w:rsid w:val="008A4C81"/>
    <w:rsid w:val="008A4F3D"/>
    <w:rsid w:val="008A55C2"/>
    <w:rsid w:val="008A566C"/>
    <w:rsid w:val="008A5B5E"/>
    <w:rsid w:val="008A62D1"/>
    <w:rsid w:val="008A6ED3"/>
    <w:rsid w:val="008A76AE"/>
    <w:rsid w:val="008A78F2"/>
    <w:rsid w:val="008A7E7D"/>
    <w:rsid w:val="008B0472"/>
    <w:rsid w:val="008B0513"/>
    <w:rsid w:val="008B0D0B"/>
    <w:rsid w:val="008B2FA5"/>
    <w:rsid w:val="008B308B"/>
    <w:rsid w:val="008B3597"/>
    <w:rsid w:val="008B35B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930"/>
    <w:rsid w:val="008C29F2"/>
    <w:rsid w:val="008C2B92"/>
    <w:rsid w:val="008C3837"/>
    <w:rsid w:val="008C40FA"/>
    <w:rsid w:val="008C611B"/>
    <w:rsid w:val="008C67CE"/>
    <w:rsid w:val="008C68CB"/>
    <w:rsid w:val="008C7916"/>
    <w:rsid w:val="008C7AE7"/>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AC0"/>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59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109CF"/>
    <w:rsid w:val="00910ED1"/>
    <w:rsid w:val="0091171A"/>
    <w:rsid w:val="00911B89"/>
    <w:rsid w:val="00912284"/>
    <w:rsid w:val="00912862"/>
    <w:rsid w:val="00912B85"/>
    <w:rsid w:val="009131A3"/>
    <w:rsid w:val="0091394E"/>
    <w:rsid w:val="009144F6"/>
    <w:rsid w:val="00914893"/>
    <w:rsid w:val="00914CFF"/>
    <w:rsid w:val="009157DD"/>
    <w:rsid w:val="0091592F"/>
    <w:rsid w:val="00915AF3"/>
    <w:rsid w:val="009165DF"/>
    <w:rsid w:val="00916787"/>
    <w:rsid w:val="009167BE"/>
    <w:rsid w:val="00917CED"/>
    <w:rsid w:val="00917E6C"/>
    <w:rsid w:val="009202D9"/>
    <w:rsid w:val="00920AC0"/>
    <w:rsid w:val="009211D6"/>
    <w:rsid w:val="009219A1"/>
    <w:rsid w:val="00921FA9"/>
    <w:rsid w:val="00922435"/>
    <w:rsid w:val="00922444"/>
    <w:rsid w:val="00922B76"/>
    <w:rsid w:val="00922FB7"/>
    <w:rsid w:val="00924904"/>
    <w:rsid w:val="00924A6E"/>
    <w:rsid w:val="00924F87"/>
    <w:rsid w:val="0092567F"/>
    <w:rsid w:val="00925685"/>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EB1"/>
    <w:rsid w:val="00951A5F"/>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15D"/>
    <w:rsid w:val="00987190"/>
    <w:rsid w:val="009875F6"/>
    <w:rsid w:val="00987954"/>
    <w:rsid w:val="00987EC1"/>
    <w:rsid w:val="00990203"/>
    <w:rsid w:val="00990EB6"/>
    <w:rsid w:val="00991EEA"/>
    <w:rsid w:val="00992307"/>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1185"/>
    <w:rsid w:val="009B16C7"/>
    <w:rsid w:val="009B3356"/>
    <w:rsid w:val="009B350C"/>
    <w:rsid w:val="009B3935"/>
    <w:rsid w:val="009B3F4B"/>
    <w:rsid w:val="009B43C3"/>
    <w:rsid w:val="009B4950"/>
    <w:rsid w:val="009B4A77"/>
    <w:rsid w:val="009B4E6D"/>
    <w:rsid w:val="009B58D8"/>
    <w:rsid w:val="009B618A"/>
    <w:rsid w:val="009B66D3"/>
    <w:rsid w:val="009B6901"/>
    <w:rsid w:val="009B6C8C"/>
    <w:rsid w:val="009B6DBE"/>
    <w:rsid w:val="009B720F"/>
    <w:rsid w:val="009C0C42"/>
    <w:rsid w:val="009C15E9"/>
    <w:rsid w:val="009C18A4"/>
    <w:rsid w:val="009C1D33"/>
    <w:rsid w:val="009C1ED6"/>
    <w:rsid w:val="009C2C32"/>
    <w:rsid w:val="009C2DE4"/>
    <w:rsid w:val="009C33B4"/>
    <w:rsid w:val="009C33DD"/>
    <w:rsid w:val="009C3E7F"/>
    <w:rsid w:val="009C3EE8"/>
    <w:rsid w:val="009C3F2A"/>
    <w:rsid w:val="009C4400"/>
    <w:rsid w:val="009C4AD0"/>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ECE"/>
    <w:rsid w:val="009D6031"/>
    <w:rsid w:val="009D71C4"/>
    <w:rsid w:val="009D750B"/>
    <w:rsid w:val="009E04F6"/>
    <w:rsid w:val="009E0CC8"/>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9F7EDE"/>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30E5"/>
    <w:rsid w:val="00A1479F"/>
    <w:rsid w:val="00A149BD"/>
    <w:rsid w:val="00A154B3"/>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EB9"/>
    <w:rsid w:val="00A433C1"/>
    <w:rsid w:val="00A43A56"/>
    <w:rsid w:val="00A44C5B"/>
    <w:rsid w:val="00A45268"/>
    <w:rsid w:val="00A452FF"/>
    <w:rsid w:val="00A45C9E"/>
    <w:rsid w:val="00A476B1"/>
    <w:rsid w:val="00A5051C"/>
    <w:rsid w:val="00A507A2"/>
    <w:rsid w:val="00A507AB"/>
    <w:rsid w:val="00A50B2C"/>
    <w:rsid w:val="00A51FA1"/>
    <w:rsid w:val="00A5226B"/>
    <w:rsid w:val="00A52723"/>
    <w:rsid w:val="00A537A8"/>
    <w:rsid w:val="00A539B0"/>
    <w:rsid w:val="00A53C91"/>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9E"/>
    <w:rsid w:val="00A62E32"/>
    <w:rsid w:val="00A633A7"/>
    <w:rsid w:val="00A6419F"/>
    <w:rsid w:val="00A65025"/>
    <w:rsid w:val="00A657BF"/>
    <w:rsid w:val="00A65DFB"/>
    <w:rsid w:val="00A661D1"/>
    <w:rsid w:val="00A66816"/>
    <w:rsid w:val="00A668EE"/>
    <w:rsid w:val="00A66FE5"/>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DD5"/>
    <w:rsid w:val="00A7654E"/>
    <w:rsid w:val="00A76F69"/>
    <w:rsid w:val="00A777E7"/>
    <w:rsid w:val="00A77B50"/>
    <w:rsid w:val="00A80707"/>
    <w:rsid w:val="00A8082A"/>
    <w:rsid w:val="00A80C0B"/>
    <w:rsid w:val="00A810C2"/>
    <w:rsid w:val="00A814C0"/>
    <w:rsid w:val="00A8191F"/>
    <w:rsid w:val="00A82471"/>
    <w:rsid w:val="00A82E8D"/>
    <w:rsid w:val="00A83059"/>
    <w:rsid w:val="00A8316B"/>
    <w:rsid w:val="00A83909"/>
    <w:rsid w:val="00A83C4B"/>
    <w:rsid w:val="00A83F98"/>
    <w:rsid w:val="00A8473A"/>
    <w:rsid w:val="00A84A85"/>
    <w:rsid w:val="00A85EEE"/>
    <w:rsid w:val="00A86CE0"/>
    <w:rsid w:val="00A871C6"/>
    <w:rsid w:val="00A87515"/>
    <w:rsid w:val="00A87917"/>
    <w:rsid w:val="00A87F34"/>
    <w:rsid w:val="00A904F2"/>
    <w:rsid w:val="00A90B9C"/>
    <w:rsid w:val="00A91128"/>
    <w:rsid w:val="00A913F8"/>
    <w:rsid w:val="00A91D4D"/>
    <w:rsid w:val="00A9274E"/>
    <w:rsid w:val="00A928A8"/>
    <w:rsid w:val="00A928D5"/>
    <w:rsid w:val="00A93340"/>
    <w:rsid w:val="00A936B8"/>
    <w:rsid w:val="00A9527E"/>
    <w:rsid w:val="00A95CB8"/>
    <w:rsid w:val="00A95DFC"/>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2B9"/>
    <w:rsid w:val="00AB3305"/>
    <w:rsid w:val="00AB36B5"/>
    <w:rsid w:val="00AB39E4"/>
    <w:rsid w:val="00AB43AD"/>
    <w:rsid w:val="00AB6705"/>
    <w:rsid w:val="00AB67B0"/>
    <w:rsid w:val="00AB6BB0"/>
    <w:rsid w:val="00AB727D"/>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990"/>
    <w:rsid w:val="00AC7861"/>
    <w:rsid w:val="00AC7AB6"/>
    <w:rsid w:val="00AD0021"/>
    <w:rsid w:val="00AD14F1"/>
    <w:rsid w:val="00AD151B"/>
    <w:rsid w:val="00AD1845"/>
    <w:rsid w:val="00AD1DEC"/>
    <w:rsid w:val="00AD1EC3"/>
    <w:rsid w:val="00AD216C"/>
    <w:rsid w:val="00AD295A"/>
    <w:rsid w:val="00AD2CF3"/>
    <w:rsid w:val="00AD543B"/>
    <w:rsid w:val="00AD548D"/>
    <w:rsid w:val="00AD57B6"/>
    <w:rsid w:val="00AD583B"/>
    <w:rsid w:val="00AD5D02"/>
    <w:rsid w:val="00AD5DA4"/>
    <w:rsid w:val="00AD5EAE"/>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50B"/>
    <w:rsid w:val="00AF6543"/>
    <w:rsid w:val="00AF6BD5"/>
    <w:rsid w:val="00AF77D9"/>
    <w:rsid w:val="00AF78CE"/>
    <w:rsid w:val="00AF7FB6"/>
    <w:rsid w:val="00B00981"/>
    <w:rsid w:val="00B009F8"/>
    <w:rsid w:val="00B01215"/>
    <w:rsid w:val="00B01F26"/>
    <w:rsid w:val="00B02003"/>
    <w:rsid w:val="00B021E0"/>
    <w:rsid w:val="00B0258C"/>
    <w:rsid w:val="00B02DDC"/>
    <w:rsid w:val="00B0325B"/>
    <w:rsid w:val="00B03D10"/>
    <w:rsid w:val="00B0400F"/>
    <w:rsid w:val="00B044FA"/>
    <w:rsid w:val="00B045DC"/>
    <w:rsid w:val="00B045F7"/>
    <w:rsid w:val="00B0460C"/>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77B"/>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2F8E"/>
    <w:rsid w:val="00B23334"/>
    <w:rsid w:val="00B233CB"/>
    <w:rsid w:val="00B23E37"/>
    <w:rsid w:val="00B24214"/>
    <w:rsid w:val="00B2472E"/>
    <w:rsid w:val="00B24772"/>
    <w:rsid w:val="00B247C2"/>
    <w:rsid w:val="00B24B4D"/>
    <w:rsid w:val="00B24B54"/>
    <w:rsid w:val="00B24ED0"/>
    <w:rsid w:val="00B257C2"/>
    <w:rsid w:val="00B259A1"/>
    <w:rsid w:val="00B25DEB"/>
    <w:rsid w:val="00B260FE"/>
    <w:rsid w:val="00B265E1"/>
    <w:rsid w:val="00B26E02"/>
    <w:rsid w:val="00B274C3"/>
    <w:rsid w:val="00B3018C"/>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3B6D"/>
    <w:rsid w:val="00B64D7F"/>
    <w:rsid w:val="00B64DB3"/>
    <w:rsid w:val="00B66642"/>
    <w:rsid w:val="00B66F46"/>
    <w:rsid w:val="00B67359"/>
    <w:rsid w:val="00B6740F"/>
    <w:rsid w:val="00B679C4"/>
    <w:rsid w:val="00B70F77"/>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D95"/>
    <w:rsid w:val="00B80F3F"/>
    <w:rsid w:val="00B81256"/>
    <w:rsid w:val="00B81293"/>
    <w:rsid w:val="00B81567"/>
    <w:rsid w:val="00B816A5"/>
    <w:rsid w:val="00B816B1"/>
    <w:rsid w:val="00B817BB"/>
    <w:rsid w:val="00B8198A"/>
    <w:rsid w:val="00B824AB"/>
    <w:rsid w:val="00B83347"/>
    <w:rsid w:val="00B8384C"/>
    <w:rsid w:val="00B83BE7"/>
    <w:rsid w:val="00B85B19"/>
    <w:rsid w:val="00B85ECC"/>
    <w:rsid w:val="00B86530"/>
    <w:rsid w:val="00B86DA8"/>
    <w:rsid w:val="00B870C6"/>
    <w:rsid w:val="00B87627"/>
    <w:rsid w:val="00B87AA8"/>
    <w:rsid w:val="00B87ADC"/>
    <w:rsid w:val="00B9005E"/>
    <w:rsid w:val="00B90709"/>
    <w:rsid w:val="00B91498"/>
    <w:rsid w:val="00B91849"/>
    <w:rsid w:val="00B91B00"/>
    <w:rsid w:val="00B93FD7"/>
    <w:rsid w:val="00B94772"/>
    <w:rsid w:val="00B9623D"/>
    <w:rsid w:val="00B963F6"/>
    <w:rsid w:val="00B9646F"/>
    <w:rsid w:val="00B96C00"/>
    <w:rsid w:val="00B9703A"/>
    <w:rsid w:val="00B97766"/>
    <w:rsid w:val="00B97C19"/>
    <w:rsid w:val="00B97E9F"/>
    <w:rsid w:val="00BA00AB"/>
    <w:rsid w:val="00BA01C6"/>
    <w:rsid w:val="00BA0E72"/>
    <w:rsid w:val="00BA0F02"/>
    <w:rsid w:val="00BA131D"/>
    <w:rsid w:val="00BA17D6"/>
    <w:rsid w:val="00BA208B"/>
    <w:rsid w:val="00BA2AD8"/>
    <w:rsid w:val="00BA3681"/>
    <w:rsid w:val="00BA4602"/>
    <w:rsid w:val="00BA4FA1"/>
    <w:rsid w:val="00BA540E"/>
    <w:rsid w:val="00BA5702"/>
    <w:rsid w:val="00BA5919"/>
    <w:rsid w:val="00BA5B87"/>
    <w:rsid w:val="00BA65A2"/>
    <w:rsid w:val="00BA6752"/>
    <w:rsid w:val="00BA6D3A"/>
    <w:rsid w:val="00BA6EC5"/>
    <w:rsid w:val="00BB0785"/>
    <w:rsid w:val="00BB0823"/>
    <w:rsid w:val="00BB0BDE"/>
    <w:rsid w:val="00BB0D86"/>
    <w:rsid w:val="00BB0F24"/>
    <w:rsid w:val="00BB1DA1"/>
    <w:rsid w:val="00BB275E"/>
    <w:rsid w:val="00BB297B"/>
    <w:rsid w:val="00BB2A93"/>
    <w:rsid w:val="00BB2EBD"/>
    <w:rsid w:val="00BB33CB"/>
    <w:rsid w:val="00BB3BAA"/>
    <w:rsid w:val="00BB3D5F"/>
    <w:rsid w:val="00BB538B"/>
    <w:rsid w:val="00BB6284"/>
    <w:rsid w:val="00BB6AE2"/>
    <w:rsid w:val="00BB7642"/>
    <w:rsid w:val="00BB78A9"/>
    <w:rsid w:val="00BC0666"/>
    <w:rsid w:val="00BC0857"/>
    <w:rsid w:val="00BC11D3"/>
    <w:rsid w:val="00BC141C"/>
    <w:rsid w:val="00BC1DCD"/>
    <w:rsid w:val="00BC2331"/>
    <w:rsid w:val="00BC2B84"/>
    <w:rsid w:val="00BC2CA3"/>
    <w:rsid w:val="00BC3002"/>
    <w:rsid w:val="00BC3436"/>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C90"/>
    <w:rsid w:val="00BE3193"/>
    <w:rsid w:val="00BE3542"/>
    <w:rsid w:val="00BE3C30"/>
    <w:rsid w:val="00BE3C32"/>
    <w:rsid w:val="00BE4CEE"/>
    <w:rsid w:val="00BE52C8"/>
    <w:rsid w:val="00BE54C3"/>
    <w:rsid w:val="00BE56BA"/>
    <w:rsid w:val="00BE6006"/>
    <w:rsid w:val="00BE6078"/>
    <w:rsid w:val="00BE6802"/>
    <w:rsid w:val="00BE6D95"/>
    <w:rsid w:val="00BF0425"/>
    <w:rsid w:val="00BF08A4"/>
    <w:rsid w:val="00BF0B61"/>
    <w:rsid w:val="00BF149D"/>
    <w:rsid w:val="00BF2346"/>
    <w:rsid w:val="00BF289B"/>
    <w:rsid w:val="00BF2DAE"/>
    <w:rsid w:val="00BF30E5"/>
    <w:rsid w:val="00BF3114"/>
    <w:rsid w:val="00BF3E7C"/>
    <w:rsid w:val="00BF45D0"/>
    <w:rsid w:val="00BF4855"/>
    <w:rsid w:val="00BF4E7A"/>
    <w:rsid w:val="00BF56B4"/>
    <w:rsid w:val="00BF5816"/>
    <w:rsid w:val="00BF5C75"/>
    <w:rsid w:val="00BF6009"/>
    <w:rsid w:val="00BF61FE"/>
    <w:rsid w:val="00BF695A"/>
    <w:rsid w:val="00BF6F31"/>
    <w:rsid w:val="00BF76EE"/>
    <w:rsid w:val="00BF788B"/>
    <w:rsid w:val="00C00790"/>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C9B"/>
    <w:rsid w:val="00C47CE0"/>
    <w:rsid w:val="00C50C55"/>
    <w:rsid w:val="00C518D9"/>
    <w:rsid w:val="00C51FF8"/>
    <w:rsid w:val="00C527B6"/>
    <w:rsid w:val="00C52D19"/>
    <w:rsid w:val="00C53317"/>
    <w:rsid w:val="00C5370B"/>
    <w:rsid w:val="00C53DB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7AC"/>
    <w:rsid w:val="00C66129"/>
    <w:rsid w:val="00C66328"/>
    <w:rsid w:val="00C67030"/>
    <w:rsid w:val="00C6718D"/>
    <w:rsid w:val="00C67377"/>
    <w:rsid w:val="00C67A27"/>
    <w:rsid w:val="00C70015"/>
    <w:rsid w:val="00C7055B"/>
    <w:rsid w:val="00C70999"/>
    <w:rsid w:val="00C70B93"/>
    <w:rsid w:val="00C712F7"/>
    <w:rsid w:val="00C71408"/>
    <w:rsid w:val="00C71809"/>
    <w:rsid w:val="00C7206E"/>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5F5C"/>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409D"/>
    <w:rsid w:val="00CA4ED4"/>
    <w:rsid w:val="00CA6E68"/>
    <w:rsid w:val="00CA702A"/>
    <w:rsid w:val="00CB01DF"/>
    <w:rsid w:val="00CB04FD"/>
    <w:rsid w:val="00CB0F03"/>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4DA4"/>
    <w:rsid w:val="00CB5354"/>
    <w:rsid w:val="00CB5737"/>
    <w:rsid w:val="00CB67EA"/>
    <w:rsid w:val="00CB7E95"/>
    <w:rsid w:val="00CC0268"/>
    <w:rsid w:val="00CC02A1"/>
    <w:rsid w:val="00CC047A"/>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4463"/>
    <w:rsid w:val="00CE448A"/>
    <w:rsid w:val="00CE44A3"/>
    <w:rsid w:val="00CE5236"/>
    <w:rsid w:val="00CE5C82"/>
    <w:rsid w:val="00CF02A8"/>
    <w:rsid w:val="00CF0520"/>
    <w:rsid w:val="00CF1930"/>
    <w:rsid w:val="00CF2E46"/>
    <w:rsid w:val="00CF2E58"/>
    <w:rsid w:val="00CF3121"/>
    <w:rsid w:val="00CF364A"/>
    <w:rsid w:val="00CF3BD0"/>
    <w:rsid w:val="00CF4117"/>
    <w:rsid w:val="00CF5328"/>
    <w:rsid w:val="00CF5332"/>
    <w:rsid w:val="00CF5F3C"/>
    <w:rsid w:val="00CF5FD0"/>
    <w:rsid w:val="00CF6908"/>
    <w:rsid w:val="00CF6E71"/>
    <w:rsid w:val="00CF738B"/>
    <w:rsid w:val="00CF78A6"/>
    <w:rsid w:val="00CF7C01"/>
    <w:rsid w:val="00D005E9"/>
    <w:rsid w:val="00D00915"/>
    <w:rsid w:val="00D009F4"/>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0B20"/>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905"/>
    <w:rsid w:val="00D544CB"/>
    <w:rsid w:val="00D54ED9"/>
    <w:rsid w:val="00D55032"/>
    <w:rsid w:val="00D559A6"/>
    <w:rsid w:val="00D55CF7"/>
    <w:rsid w:val="00D55ED4"/>
    <w:rsid w:val="00D56190"/>
    <w:rsid w:val="00D564E5"/>
    <w:rsid w:val="00D56514"/>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E3"/>
    <w:rsid w:val="00D81DF7"/>
    <w:rsid w:val="00D82AB1"/>
    <w:rsid w:val="00D82CC8"/>
    <w:rsid w:val="00D83BC7"/>
    <w:rsid w:val="00D83D5A"/>
    <w:rsid w:val="00D84252"/>
    <w:rsid w:val="00D854E0"/>
    <w:rsid w:val="00D85936"/>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5165"/>
    <w:rsid w:val="00DB667F"/>
    <w:rsid w:val="00DB66DA"/>
    <w:rsid w:val="00DC002C"/>
    <w:rsid w:val="00DC0BA5"/>
    <w:rsid w:val="00DC21C3"/>
    <w:rsid w:val="00DC279C"/>
    <w:rsid w:val="00DC2D3B"/>
    <w:rsid w:val="00DC3097"/>
    <w:rsid w:val="00DC3145"/>
    <w:rsid w:val="00DC3DD3"/>
    <w:rsid w:val="00DC3ED3"/>
    <w:rsid w:val="00DC40BD"/>
    <w:rsid w:val="00DC5705"/>
    <w:rsid w:val="00DC58C0"/>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3598"/>
    <w:rsid w:val="00DE3882"/>
    <w:rsid w:val="00DE389F"/>
    <w:rsid w:val="00DE392D"/>
    <w:rsid w:val="00DE3BBB"/>
    <w:rsid w:val="00DE3CB5"/>
    <w:rsid w:val="00DE3E3E"/>
    <w:rsid w:val="00DE47BC"/>
    <w:rsid w:val="00DE4B04"/>
    <w:rsid w:val="00DE501A"/>
    <w:rsid w:val="00DE5145"/>
    <w:rsid w:val="00DE5162"/>
    <w:rsid w:val="00DE5660"/>
    <w:rsid w:val="00DE5C9E"/>
    <w:rsid w:val="00DE5DA6"/>
    <w:rsid w:val="00DE71A0"/>
    <w:rsid w:val="00DE7CA6"/>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BF0"/>
    <w:rsid w:val="00E020F1"/>
    <w:rsid w:val="00E02857"/>
    <w:rsid w:val="00E02A91"/>
    <w:rsid w:val="00E02BB0"/>
    <w:rsid w:val="00E02C9C"/>
    <w:rsid w:val="00E02FF7"/>
    <w:rsid w:val="00E03445"/>
    <w:rsid w:val="00E0471D"/>
    <w:rsid w:val="00E04C80"/>
    <w:rsid w:val="00E04FDB"/>
    <w:rsid w:val="00E05ABD"/>
    <w:rsid w:val="00E05AE0"/>
    <w:rsid w:val="00E05BA2"/>
    <w:rsid w:val="00E05C71"/>
    <w:rsid w:val="00E06C21"/>
    <w:rsid w:val="00E07A41"/>
    <w:rsid w:val="00E11347"/>
    <w:rsid w:val="00E115DF"/>
    <w:rsid w:val="00E11680"/>
    <w:rsid w:val="00E11689"/>
    <w:rsid w:val="00E123D2"/>
    <w:rsid w:val="00E1243C"/>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155"/>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FA5"/>
    <w:rsid w:val="00E36059"/>
    <w:rsid w:val="00E36D6D"/>
    <w:rsid w:val="00E36F1B"/>
    <w:rsid w:val="00E37C29"/>
    <w:rsid w:val="00E37FE2"/>
    <w:rsid w:val="00E40496"/>
    <w:rsid w:val="00E40A7D"/>
    <w:rsid w:val="00E40E39"/>
    <w:rsid w:val="00E41299"/>
    <w:rsid w:val="00E417DC"/>
    <w:rsid w:val="00E419EE"/>
    <w:rsid w:val="00E41A78"/>
    <w:rsid w:val="00E41D3F"/>
    <w:rsid w:val="00E429F0"/>
    <w:rsid w:val="00E43062"/>
    <w:rsid w:val="00E4328E"/>
    <w:rsid w:val="00E4349F"/>
    <w:rsid w:val="00E43FE4"/>
    <w:rsid w:val="00E44E44"/>
    <w:rsid w:val="00E453DB"/>
    <w:rsid w:val="00E45692"/>
    <w:rsid w:val="00E45E0E"/>
    <w:rsid w:val="00E510CC"/>
    <w:rsid w:val="00E511FE"/>
    <w:rsid w:val="00E51305"/>
    <w:rsid w:val="00E513CD"/>
    <w:rsid w:val="00E515FE"/>
    <w:rsid w:val="00E5291B"/>
    <w:rsid w:val="00E55F0B"/>
    <w:rsid w:val="00E56A4B"/>
    <w:rsid w:val="00E5704D"/>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738"/>
    <w:rsid w:val="00E70F4D"/>
    <w:rsid w:val="00E7114D"/>
    <w:rsid w:val="00E711FC"/>
    <w:rsid w:val="00E713CD"/>
    <w:rsid w:val="00E71493"/>
    <w:rsid w:val="00E71877"/>
    <w:rsid w:val="00E719BB"/>
    <w:rsid w:val="00E71C6A"/>
    <w:rsid w:val="00E71E15"/>
    <w:rsid w:val="00E72607"/>
    <w:rsid w:val="00E728A9"/>
    <w:rsid w:val="00E72BDA"/>
    <w:rsid w:val="00E72F74"/>
    <w:rsid w:val="00E7330B"/>
    <w:rsid w:val="00E7437B"/>
    <w:rsid w:val="00E754CF"/>
    <w:rsid w:val="00E757CD"/>
    <w:rsid w:val="00E761C9"/>
    <w:rsid w:val="00E76500"/>
    <w:rsid w:val="00E766FC"/>
    <w:rsid w:val="00E769D6"/>
    <w:rsid w:val="00E76B5F"/>
    <w:rsid w:val="00E77D8D"/>
    <w:rsid w:val="00E80463"/>
    <w:rsid w:val="00E82A1D"/>
    <w:rsid w:val="00E82C5E"/>
    <w:rsid w:val="00E831BD"/>
    <w:rsid w:val="00E83316"/>
    <w:rsid w:val="00E83B1C"/>
    <w:rsid w:val="00E849C0"/>
    <w:rsid w:val="00E849DA"/>
    <w:rsid w:val="00E84A8E"/>
    <w:rsid w:val="00E8505E"/>
    <w:rsid w:val="00E8556E"/>
    <w:rsid w:val="00E86120"/>
    <w:rsid w:val="00E868C7"/>
    <w:rsid w:val="00E877F4"/>
    <w:rsid w:val="00E878F9"/>
    <w:rsid w:val="00E87AAA"/>
    <w:rsid w:val="00E902B5"/>
    <w:rsid w:val="00E902E0"/>
    <w:rsid w:val="00E903AA"/>
    <w:rsid w:val="00E910D3"/>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835"/>
    <w:rsid w:val="00ED3B69"/>
    <w:rsid w:val="00ED4611"/>
    <w:rsid w:val="00ED48B0"/>
    <w:rsid w:val="00ED4996"/>
    <w:rsid w:val="00ED54BC"/>
    <w:rsid w:val="00ED54E8"/>
    <w:rsid w:val="00ED5634"/>
    <w:rsid w:val="00ED5832"/>
    <w:rsid w:val="00ED6F4A"/>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8D"/>
    <w:rsid w:val="00EF443E"/>
    <w:rsid w:val="00EF4708"/>
    <w:rsid w:val="00EF4945"/>
    <w:rsid w:val="00EF4980"/>
    <w:rsid w:val="00EF5368"/>
    <w:rsid w:val="00EF5C79"/>
    <w:rsid w:val="00EF5CA6"/>
    <w:rsid w:val="00EF62AB"/>
    <w:rsid w:val="00EF730C"/>
    <w:rsid w:val="00EF79CD"/>
    <w:rsid w:val="00F00261"/>
    <w:rsid w:val="00F00736"/>
    <w:rsid w:val="00F007FB"/>
    <w:rsid w:val="00F018D1"/>
    <w:rsid w:val="00F01A72"/>
    <w:rsid w:val="00F01C25"/>
    <w:rsid w:val="00F02018"/>
    <w:rsid w:val="00F02393"/>
    <w:rsid w:val="00F0262A"/>
    <w:rsid w:val="00F02ACC"/>
    <w:rsid w:val="00F02E23"/>
    <w:rsid w:val="00F04206"/>
    <w:rsid w:val="00F04EFA"/>
    <w:rsid w:val="00F05191"/>
    <w:rsid w:val="00F05D00"/>
    <w:rsid w:val="00F061F5"/>
    <w:rsid w:val="00F063B9"/>
    <w:rsid w:val="00F068FE"/>
    <w:rsid w:val="00F06F8F"/>
    <w:rsid w:val="00F0748B"/>
    <w:rsid w:val="00F0795B"/>
    <w:rsid w:val="00F07B17"/>
    <w:rsid w:val="00F07B6F"/>
    <w:rsid w:val="00F1001F"/>
    <w:rsid w:val="00F1040D"/>
    <w:rsid w:val="00F12297"/>
    <w:rsid w:val="00F12A94"/>
    <w:rsid w:val="00F12C19"/>
    <w:rsid w:val="00F13278"/>
    <w:rsid w:val="00F132A5"/>
    <w:rsid w:val="00F13F3C"/>
    <w:rsid w:val="00F14008"/>
    <w:rsid w:val="00F14141"/>
    <w:rsid w:val="00F14AB6"/>
    <w:rsid w:val="00F14CD7"/>
    <w:rsid w:val="00F1531F"/>
    <w:rsid w:val="00F15481"/>
    <w:rsid w:val="00F161C9"/>
    <w:rsid w:val="00F1652B"/>
    <w:rsid w:val="00F16CF9"/>
    <w:rsid w:val="00F172BF"/>
    <w:rsid w:val="00F17317"/>
    <w:rsid w:val="00F17FCC"/>
    <w:rsid w:val="00F20245"/>
    <w:rsid w:val="00F2038E"/>
    <w:rsid w:val="00F20A1D"/>
    <w:rsid w:val="00F20AE2"/>
    <w:rsid w:val="00F20BDD"/>
    <w:rsid w:val="00F211B2"/>
    <w:rsid w:val="00F21572"/>
    <w:rsid w:val="00F216FF"/>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65A"/>
    <w:rsid w:val="00F6181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75C"/>
    <w:rsid w:val="00F65A02"/>
    <w:rsid w:val="00F65A53"/>
    <w:rsid w:val="00F65A7D"/>
    <w:rsid w:val="00F66BAD"/>
    <w:rsid w:val="00F6701C"/>
    <w:rsid w:val="00F6737D"/>
    <w:rsid w:val="00F67C6F"/>
    <w:rsid w:val="00F7011B"/>
    <w:rsid w:val="00F7051F"/>
    <w:rsid w:val="00F7082C"/>
    <w:rsid w:val="00F709E7"/>
    <w:rsid w:val="00F71298"/>
    <w:rsid w:val="00F7203C"/>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607"/>
    <w:rsid w:val="00F90C23"/>
    <w:rsid w:val="00F90D10"/>
    <w:rsid w:val="00F912F5"/>
    <w:rsid w:val="00F9142C"/>
    <w:rsid w:val="00F914B1"/>
    <w:rsid w:val="00F9164E"/>
    <w:rsid w:val="00F9195D"/>
    <w:rsid w:val="00F91A07"/>
    <w:rsid w:val="00F91AB0"/>
    <w:rsid w:val="00F91D41"/>
    <w:rsid w:val="00F92189"/>
    <w:rsid w:val="00F923FE"/>
    <w:rsid w:val="00F928A1"/>
    <w:rsid w:val="00F92C4E"/>
    <w:rsid w:val="00F92CC0"/>
    <w:rsid w:val="00F92F23"/>
    <w:rsid w:val="00F9307E"/>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75E"/>
    <w:rsid w:val="00FA5989"/>
    <w:rsid w:val="00FA5AC4"/>
    <w:rsid w:val="00FA5D1E"/>
    <w:rsid w:val="00FA5F21"/>
    <w:rsid w:val="00FA6157"/>
    <w:rsid w:val="00FA615A"/>
    <w:rsid w:val="00FA6AFE"/>
    <w:rsid w:val="00FA7251"/>
    <w:rsid w:val="00FA72EF"/>
    <w:rsid w:val="00FA7D3E"/>
    <w:rsid w:val="00FA7E58"/>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1F3"/>
    <w:rsid w:val="00FC597A"/>
    <w:rsid w:val="00FC60CB"/>
    <w:rsid w:val="00FC69D9"/>
    <w:rsid w:val="00FC6CA6"/>
    <w:rsid w:val="00FD159C"/>
    <w:rsid w:val="00FD207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9CD"/>
    <w:rsid w:val="00FE1AFC"/>
    <w:rsid w:val="00FE1EAF"/>
    <w:rsid w:val="00FE259C"/>
    <w:rsid w:val="00FE26B7"/>
    <w:rsid w:val="00FE2ED7"/>
    <w:rsid w:val="00FE3B40"/>
    <w:rsid w:val="00FE3D81"/>
    <w:rsid w:val="00FE4057"/>
    <w:rsid w:val="00FE5476"/>
    <w:rsid w:val="00FE54ED"/>
    <w:rsid w:val="00FE59B2"/>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855"/>
    <w:rPr>
      <w:rFonts w:ascii="Times New Roman" w:hAnsi="Times New Roman" w:cs="Times New Roman"/>
      <w:sz w:val="24"/>
      <w:szCs w:val="24"/>
    </w:rPr>
  </w:style>
  <w:style w:type="paragraph" w:styleId="Titre2">
    <w:name w:val="heading 2"/>
    <w:basedOn w:val="Normal"/>
    <w:next w:val="Normal"/>
    <w:link w:val="Titre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qFormat/>
    <w:rsid w:val="00BC3E49"/>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locked/>
    <w:rsid w:val="00BC3E49"/>
    <w:rPr>
      <w:rFonts w:ascii="Arial" w:hAnsi="Arial" w:cs="Arial"/>
      <w:b/>
      <w:bCs/>
      <w:sz w:val="26"/>
      <w:szCs w:val="26"/>
    </w:rPr>
  </w:style>
  <w:style w:type="paragraph" w:customStyle="1" w:styleId="Textopredeterminado">
    <w:name w:val="Texto predeterminado"/>
    <w:basedOn w:val="Normal"/>
    <w:uiPriority w:val="99"/>
    <w:rsid w:val="00D41855"/>
    <w:pPr>
      <w:overflowPunct w:val="0"/>
      <w:autoSpaceDE w:val="0"/>
      <w:autoSpaceDN w:val="0"/>
      <w:adjustRightInd w:val="0"/>
      <w:textAlignment w:val="baseline"/>
    </w:pPr>
    <w:rPr>
      <w:color w:val="000000"/>
      <w:szCs w:val="20"/>
      <w:lang w:val="es-CO"/>
    </w:rPr>
  </w:style>
  <w:style w:type="paragraph" w:styleId="En-tte">
    <w:name w:val="header"/>
    <w:basedOn w:val="Normal"/>
    <w:link w:val="En-tteCar"/>
    <w:uiPriority w:val="99"/>
    <w:rsid w:val="00D41855"/>
    <w:pPr>
      <w:tabs>
        <w:tab w:val="center" w:pos="4252"/>
        <w:tab w:val="right" w:pos="8504"/>
      </w:tabs>
    </w:pPr>
  </w:style>
  <w:style w:type="character" w:customStyle="1" w:styleId="En-tteCar">
    <w:name w:val="En-tête Car"/>
    <w:basedOn w:val="Policepardfaut"/>
    <w:link w:val="En-tte"/>
    <w:uiPriority w:val="99"/>
    <w:locked/>
    <w:rsid w:val="00D41855"/>
    <w:rPr>
      <w:rFonts w:ascii="Times New Roman" w:hAnsi="Times New Roman" w:cs="Times New Roman"/>
      <w:sz w:val="24"/>
      <w:szCs w:val="24"/>
      <w:lang w:val="x-none" w:eastAsia="es-ES"/>
    </w:rPr>
  </w:style>
  <w:style w:type="character" w:styleId="Numrodepage">
    <w:name w:val="page number"/>
    <w:basedOn w:val="Policepardfaut"/>
    <w:uiPriority w:val="99"/>
    <w:rsid w:val="00D41855"/>
    <w:rPr>
      <w:rFonts w:cs="Times New Roman"/>
    </w:rPr>
  </w:style>
  <w:style w:type="paragraph" w:styleId="Sansinterligne">
    <w:name w:val="No Spacing"/>
    <w:link w:val="SansinterligneCar"/>
    <w:uiPriority w:val="1"/>
    <w:qFormat/>
    <w:rsid w:val="00D41855"/>
    <w:rPr>
      <w:rFonts w:cs="Times New Roman"/>
      <w:sz w:val="22"/>
      <w:szCs w:val="22"/>
    </w:rPr>
  </w:style>
  <w:style w:type="paragraph" w:styleId="Paragraphedeliste">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edebulles">
    <w:name w:val="Balloon Text"/>
    <w:basedOn w:val="Normal"/>
    <w:link w:val="TextedebullesCar"/>
    <w:uiPriority w:val="99"/>
    <w:semiHidden/>
    <w:unhideWhenUsed/>
    <w:rsid w:val="00D41855"/>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D41855"/>
    <w:rPr>
      <w:rFonts w:ascii="Tahoma" w:hAnsi="Tahoma" w:cs="Tahoma"/>
      <w:sz w:val="16"/>
      <w:szCs w:val="16"/>
      <w:lang w:val="x-none" w:eastAsia="es-ES"/>
    </w:rPr>
  </w:style>
  <w:style w:type="paragraph" w:styleId="Corpsdetexte">
    <w:name w:val="Body Text"/>
    <w:basedOn w:val="Normal"/>
    <w:link w:val="CorpsdetexteCar"/>
    <w:uiPriority w:val="99"/>
    <w:rsid w:val="00B260FE"/>
    <w:pPr>
      <w:jc w:val="both"/>
    </w:pPr>
    <w:rPr>
      <w:rFonts w:ascii="Tahoma" w:hAnsi="Tahoma"/>
      <w:sz w:val="22"/>
      <w:szCs w:val="20"/>
    </w:rPr>
  </w:style>
  <w:style w:type="character" w:customStyle="1" w:styleId="CorpsdetexteCar">
    <w:name w:val="Corps de texte Car"/>
    <w:basedOn w:val="Policepardfaut"/>
    <w:link w:val="Corpsdetexte"/>
    <w:uiPriority w:val="99"/>
    <w:locked/>
    <w:rsid w:val="00B260FE"/>
    <w:rPr>
      <w:rFonts w:ascii="Tahoma" w:hAnsi="Tahoma" w:cs="Times New Roman"/>
      <w:sz w:val="22"/>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texto de nota al pi"/>
    <w:basedOn w:val="Normal"/>
    <w:link w:val="NotedebasdepageCar"/>
    <w:unhideWhenUsed/>
    <w:qFormat/>
    <w:rsid w:val="000F00F1"/>
    <w:rPr>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0F00F1"/>
    <w:rPr>
      <w:rFonts w:ascii="Times New Roman" w:hAnsi="Times New Roman" w:cs="Times New Roman"/>
    </w:rPr>
  </w:style>
  <w:style w:type="paragraph" w:styleId="Pieddepage">
    <w:name w:val="footer"/>
    <w:aliases w:val="Pie de página Car Car"/>
    <w:basedOn w:val="Normal"/>
    <w:link w:val="PieddepageCar"/>
    <w:uiPriority w:val="99"/>
    <w:unhideWhenUsed/>
    <w:rsid w:val="00441A24"/>
    <w:pPr>
      <w:tabs>
        <w:tab w:val="center" w:pos="4252"/>
        <w:tab w:val="right" w:pos="8504"/>
      </w:tabs>
    </w:pPr>
  </w:style>
  <w:style w:type="character" w:customStyle="1" w:styleId="PieddepageCar">
    <w:name w:val="Pied de page Car"/>
    <w:aliases w:val="Pie de página Car Car Car"/>
    <w:basedOn w:val="Policepardfaut"/>
    <w:link w:val="Pieddepage"/>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Lgende">
    <w:name w:val="caption"/>
    <w:basedOn w:val="Normal"/>
    <w:next w:val="Normal"/>
    <w:uiPriority w:val="35"/>
    <w:qFormat/>
    <w:rsid w:val="008451B6"/>
    <w:pPr>
      <w:jc w:val="center"/>
    </w:pPr>
    <w:rPr>
      <w:rFonts w:ascii="ShelleyVolante BT" w:hAnsi="ShelleyVolante BT"/>
      <w:b/>
      <w:bCs/>
      <w:sz w:val="28"/>
    </w:rPr>
  </w:style>
  <w:style w:type="paragraph" w:styleId="Citationintense">
    <w:name w:val="Intense Quote"/>
    <w:basedOn w:val="Normal"/>
    <w:next w:val="Normal"/>
    <w:link w:val="CitationintenseCar"/>
    <w:uiPriority w:val="30"/>
    <w:qFormat/>
    <w:rsid w:val="00A25BC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e">
    <w:name w:val="List"/>
    <w:basedOn w:val="Normal"/>
    <w:uiPriority w:val="99"/>
    <w:unhideWhenUsed/>
    <w:rsid w:val="00BF76EE"/>
    <w:pPr>
      <w:ind w:left="283" w:hanging="283"/>
      <w:contextualSpacing/>
    </w:pPr>
  </w:style>
  <w:style w:type="paragraph" w:styleId="Listecontinue">
    <w:name w:val="List Continue"/>
    <w:basedOn w:val="Normal"/>
    <w:uiPriority w:val="99"/>
    <w:unhideWhenUsed/>
    <w:rsid w:val="00BF76EE"/>
    <w:pPr>
      <w:spacing w:after="120"/>
      <w:ind w:left="283"/>
      <w:contextualSpacing/>
    </w:pPr>
  </w:style>
  <w:style w:type="paragraph" w:styleId="Retraitcorpsdetexte">
    <w:name w:val="Body Text Indent"/>
    <w:basedOn w:val="Normal"/>
    <w:link w:val="RetraitcorpsdetexteCar"/>
    <w:uiPriority w:val="99"/>
    <w:semiHidden/>
    <w:unhideWhenUsed/>
    <w:rsid w:val="00BF76EE"/>
    <w:pPr>
      <w:spacing w:after="120"/>
      <w:ind w:left="283"/>
    </w:pPr>
  </w:style>
  <w:style w:type="character" w:customStyle="1" w:styleId="RetraitcorpsdetexteCar">
    <w:name w:val="Retrait corps de texte Car"/>
    <w:basedOn w:val="Policepardfaut"/>
    <w:link w:val="Retraitcorpsdetexte"/>
    <w:uiPriority w:val="99"/>
    <w:semiHidden/>
    <w:locked/>
    <w:rsid w:val="00BF76EE"/>
    <w:rPr>
      <w:rFonts w:ascii="Times New Roman" w:hAnsi="Times New Roman" w:cs="Times New Roman"/>
      <w:sz w:val="24"/>
      <w:szCs w:val="24"/>
    </w:rPr>
  </w:style>
  <w:style w:type="paragraph" w:styleId="Retraitcorpset1relig">
    <w:name w:val="Body Text First Indent 2"/>
    <w:basedOn w:val="Retraitcorpsdetexte"/>
    <w:link w:val="Retraitcorpset1religCar"/>
    <w:uiPriority w:val="99"/>
    <w:unhideWhenUsed/>
    <w:rsid w:val="00BF76EE"/>
    <w:pPr>
      <w:spacing w:after="0"/>
      <w:ind w:left="360" w:firstLine="360"/>
    </w:pPr>
  </w:style>
  <w:style w:type="character" w:customStyle="1" w:styleId="Retraitcorpset1religCar">
    <w:name w:val="Retrait corps et 1re lig. Car"/>
    <w:basedOn w:val="RetraitcorpsdetexteCar"/>
    <w:link w:val="Retraitcorpset1relig"/>
    <w:uiPriority w:val="99"/>
    <w:locked/>
    <w:rsid w:val="00BF76EE"/>
    <w:rPr>
      <w:rFonts w:ascii="Times New Roman" w:hAnsi="Times New Roman" w:cs="Times New Roman"/>
      <w:sz w:val="24"/>
      <w:szCs w:val="24"/>
    </w:rPr>
  </w:style>
  <w:style w:type="character" w:styleId="Lienhypertexte">
    <w:name w:val="Hyperlink"/>
    <w:basedOn w:val="Policepardfaut"/>
    <w:uiPriority w:val="99"/>
    <w:unhideWhenUsed/>
    <w:rsid w:val="008C29F2"/>
    <w:rPr>
      <w:rFonts w:cs="Times New Roman"/>
      <w:color w:val="0000FF" w:themeColor="hyperlink"/>
      <w:u w:val="single"/>
    </w:rPr>
  </w:style>
  <w:style w:type="character" w:styleId="Appelnotedebasdep">
    <w:name w:val="footnote reference"/>
    <w:aliases w:val="Texto de nota al pie,referencia nota al pie,Ref,de nota al pie,Footnotes refss,Appel note de bas de page,Fago Fußnotenzeichen,Nota a pie,Ref. de nota al pie 2,Footnote symbol,Footnote,Char Car Car Car Ca,Ref. de nota al pie2,R,FC"/>
    <w:basedOn w:val="Policepardfaut"/>
    <w:rsid w:val="00D0339A"/>
    <w:rPr>
      <w:rFonts w:cs="Times New Roman"/>
      <w:vertAlign w:val="superscript"/>
    </w:rPr>
  </w:style>
  <w:style w:type="paragraph" w:styleId="Titre">
    <w:name w:val="Title"/>
    <w:basedOn w:val="Normal"/>
    <w:link w:val="TitreCar"/>
    <w:uiPriority w:val="99"/>
    <w:qFormat/>
    <w:rsid w:val="00AC5058"/>
    <w:pPr>
      <w:jc w:val="center"/>
    </w:pPr>
    <w:rPr>
      <w:rFonts w:ascii="Arial" w:hAnsi="Arial" w:cs="Arial"/>
      <w:b/>
      <w:bCs/>
      <w:i/>
      <w:iCs/>
    </w:rPr>
  </w:style>
  <w:style w:type="character" w:customStyle="1" w:styleId="TitreCar">
    <w:name w:val="Titre Car"/>
    <w:basedOn w:val="Policepardfaut"/>
    <w:link w:val="Titre"/>
    <w:uiPriority w:val="99"/>
    <w:rsid w:val="00AC5058"/>
    <w:rPr>
      <w:rFonts w:ascii="Arial" w:hAnsi="Arial" w:cs="Arial"/>
      <w:b/>
      <w:bCs/>
      <w:i/>
      <w:iCs/>
      <w:sz w:val="24"/>
      <w:szCs w:val="24"/>
    </w:rPr>
  </w:style>
  <w:style w:type="character" w:customStyle="1" w:styleId="SansinterligneCar">
    <w:name w:val="Sans interligne Car"/>
    <w:link w:val="Sansinterligne"/>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Policepardfaut"/>
    <w:rsid w:val="00516D05"/>
  </w:style>
  <w:style w:type="character" w:styleId="lev">
    <w:name w:val="Strong"/>
    <w:basedOn w:val="Policepardfaut"/>
    <w:uiPriority w:val="22"/>
    <w:qFormat/>
    <w:rsid w:val="00200C80"/>
    <w:rPr>
      <w:b/>
      <w:bCs/>
    </w:rPr>
  </w:style>
  <w:style w:type="character" w:customStyle="1" w:styleId="textonavy1">
    <w:name w:val="texto_navy1"/>
    <w:rsid w:val="00873B92"/>
    <w:rPr>
      <w:color w:val="000080"/>
    </w:rPr>
  </w:style>
  <w:style w:type="character" w:customStyle="1" w:styleId="Titre2Car">
    <w:name w:val="Titre 2 Car"/>
    <w:basedOn w:val="Policepardfaut"/>
    <w:link w:val="Titre2"/>
    <w:uiPriority w:val="9"/>
    <w:rsid w:val="001874E9"/>
    <w:rPr>
      <w:rFonts w:asciiTheme="majorHAnsi" w:eastAsiaTheme="majorEastAsia" w:hAnsiTheme="majorHAnsi" w:cstheme="majorBidi"/>
      <w:color w:val="365F91" w:themeColor="accent1" w:themeShade="BF"/>
      <w:sz w:val="26"/>
      <w:szCs w:val="26"/>
    </w:rPr>
  </w:style>
  <w:style w:type="character" w:styleId="CitationHTML">
    <w:name w:val="HTML Cite"/>
    <w:basedOn w:val="Policepardfaut"/>
    <w:uiPriority w:val="99"/>
    <w:unhideWhenUsed/>
    <w:rsid w:val="00B05CE0"/>
    <w:rPr>
      <w:rFonts w:cs="Times New Roman"/>
      <w:i/>
    </w:rPr>
  </w:style>
  <w:style w:type="character" w:customStyle="1" w:styleId="Titre4Car">
    <w:name w:val="Titre 4 Car"/>
    <w:basedOn w:val="Policepardfaut"/>
    <w:link w:val="Titre4"/>
    <w:uiPriority w:val="9"/>
    <w:semiHidden/>
    <w:rsid w:val="00FE5476"/>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D9621-6B0E-4D61-80BE-98F76A6B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10</Pages>
  <Words>3468</Words>
  <Characters>19079</Characters>
  <Application>Microsoft Office Word</Application>
  <DocSecurity>0</DocSecurity>
  <Lines>158</Lines>
  <Paragraphs>45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Gares</Company>
  <LinksUpToDate>false</LinksUpToDate>
  <CharactersWithSpaces>22502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Malucimedina</cp:lastModifiedBy>
  <cp:revision>23</cp:revision>
  <cp:lastPrinted>2017-03-27T21:08:00Z</cp:lastPrinted>
  <dcterms:created xsi:type="dcterms:W3CDTF">2017-03-21T00:09:00Z</dcterms:created>
  <dcterms:modified xsi:type="dcterms:W3CDTF">2017-05-10T22:07:00Z</dcterms:modified>
</cp:coreProperties>
</file>