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4B" w:rsidRPr="00B32804" w:rsidRDefault="00316D4B" w:rsidP="00316D4B">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316D4B" w:rsidRDefault="00316D4B" w:rsidP="00316D4B">
      <w:pPr>
        <w:shd w:val="clear" w:color="auto" w:fill="FFFFFF"/>
        <w:rPr>
          <w:rFonts w:ascii="Calibri" w:hAnsi="Calibri" w:cs="Calibri"/>
          <w:color w:val="222222"/>
          <w:sz w:val="18"/>
          <w:szCs w:val="18"/>
          <w:lang w:val="es-CO" w:eastAsia="fr-FR"/>
        </w:rPr>
      </w:pPr>
    </w:p>
    <w:p w:rsidR="00F540C7" w:rsidRPr="00EF5F0B" w:rsidRDefault="00F540C7" w:rsidP="00EF5F0B">
      <w:pPr>
        <w:rPr>
          <w:rFonts w:asciiTheme="minorHAnsi" w:hAnsiTheme="minorHAnsi"/>
          <w:sz w:val="18"/>
          <w:szCs w:val="18"/>
        </w:rPr>
      </w:pPr>
      <w:r w:rsidRPr="00EF5F0B">
        <w:rPr>
          <w:rFonts w:asciiTheme="minorHAnsi" w:hAnsiTheme="minorHAnsi"/>
          <w:sz w:val="18"/>
          <w:szCs w:val="18"/>
        </w:rPr>
        <w:t xml:space="preserve">Asunto: </w:t>
      </w:r>
      <w:r w:rsidRPr="00EF5F0B">
        <w:rPr>
          <w:rFonts w:asciiTheme="minorHAnsi" w:hAnsiTheme="minorHAnsi"/>
          <w:sz w:val="18"/>
          <w:szCs w:val="18"/>
        </w:rPr>
        <w:tab/>
      </w:r>
      <w:r w:rsidRPr="00EF5F0B">
        <w:rPr>
          <w:rFonts w:asciiTheme="minorHAnsi" w:hAnsiTheme="minorHAnsi"/>
          <w:sz w:val="18"/>
          <w:szCs w:val="18"/>
        </w:rPr>
        <w:tab/>
      </w:r>
      <w:r w:rsidRPr="00EF5F0B">
        <w:rPr>
          <w:rFonts w:asciiTheme="minorHAnsi" w:hAnsiTheme="minorHAnsi"/>
          <w:sz w:val="18"/>
          <w:szCs w:val="18"/>
        </w:rPr>
        <w:tab/>
      </w:r>
      <w:r w:rsidR="007A6B19" w:rsidRPr="00EF5F0B">
        <w:rPr>
          <w:rFonts w:asciiTheme="minorHAnsi" w:hAnsiTheme="minorHAnsi"/>
          <w:sz w:val="18"/>
          <w:szCs w:val="18"/>
        </w:rPr>
        <w:t>Sentencia de tutela</w:t>
      </w:r>
      <w:r w:rsidRPr="00EF5F0B">
        <w:rPr>
          <w:rFonts w:asciiTheme="minorHAnsi" w:hAnsiTheme="minorHAnsi"/>
          <w:sz w:val="18"/>
          <w:szCs w:val="18"/>
        </w:rPr>
        <w:t xml:space="preserve"> – 1ª </w:t>
      </w:r>
      <w:r w:rsidR="007A6B19" w:rsidRPr="00EF5F0B">
        <w:rPr>
          <w:rFonts w:asciiTheme="minorHAnsi" w:hAnsiTheme="minorHAnsi"/>
          <w:sz w:val="18"/>
          <w:szCs w:val="18"/>
        </w:rPr>
        <w:t xml:space="preserve"> instancia</w:t>
      </w:r>
      <w:r w:rsidRPr="00EF5F0B">
        <w:rPr>
          <w:rFonts w:asciiTheme="minorHAnsi" w:hAnsiTheme="minorHAnsi"/>
          <w:sz w:val="18"/>
          <w:szCs w:val="18"/>
        </w:rPr>
        <w:t xml:space="preserve"> – 8 de noviembre de 2016</w:t>
      </w:r>
    </w:p>
    <w:p w:rsidR="00F540C7" w:rsidRPr="00EF5F0B" w:rsidRDefault="00F540C7" w:rsidP="00EF5F0B">
      <w:pPr>
        <w:rPr>
          <w:rFonts w:asciiTheme="minorHAnsi" w:hAnsiTheme="minorHAnsi"/>
          <w:sz w:val="18"/>
          <w:szCs w:val="18"/>
        </w:rPr>
      </w:pPr>
      <w:r w:rsidRPr="00EF5F0B">
        <w:rPr>
          <w:rFonts w:asciiTheme="minorHAnsi" w:hAnsiTheme="minorHAnsi"/>
          <w:sz w:val="18"/>
          <w:szCs w:val="18"/>
        </w:rPr>
        <w:t xml:space="preserve">Radicación: </w:t>
      </w:r>
      <w:r w:rsidRPr="00EF5F0B">
        <w:rPr>
          <w:rFonts w:asciiTheme="minorHAnsi" w:hAnsiTheme="minorHAnsi"/>
          <w:sz w:val="18"/>
          <w:szCs w:val="18"/>
        </w:rPr>
        <w:tab/>
      </w:r>
      <w:r w:rsidRPr="00EF5F0B">
        <w:rPr>
          <w:rFonts w:asciiTheme="minorHAnsi" w:hAnsiTheme="minorHAnsi"/>
          <w:sz w:val="18"/>
          <w:szCs w:val="18"/>
        </w:rPr>
        <w:tab/>
        <w:t>2016-00972-00 (Interno No.972)</w:t>
      </w:r>
    </w:p>
    <w:p w:rsidR="00F540C7" w:rsidRPr="00EF5F0B" w:rsidRDefault="00F540C7" w:rsidP="00EF5F0B">
      <w:pPr>
        <w:rPr>
          <w:rFonts w:asciiTheme="minorHAnsi" w:hAnsiTheme="minorHAnsi"/>
          <w:sz w:val="18"/>
          <w:szCs w:val="18"/>
        </w:rPr>
      </w:pPr>
      <w:r w:rsidRPr="00EF5F0B">
        <w:rPr>
          <w:rFonts w:asciiTheme="minorHAnsi" w:hAnsiTheme="minorHAnsi"/>
          <w:sz w:val="18"/>
          <w:szCs w:val="18"/>
        </w:rPr>
        <w:t xml:space="preserve">Accionante: </w:t>
      </w:r>
      <w:r w:rsidRPr="00EF5F0B">
        <w:rPr>
          <w:rFonts w:asciiTheme="minorHAnsi" w:hAnsiTheme="minorHAnsi"/>
          <w:sz w:val="18"/>
          <w:szCs w:val="18"/>
        </w:rPr>
        <w:tab/>
      </w:r>
      <w:r w:rsidRPr="00EF5F0B">
        <w:rPr>
          <w:rFonts w:asciiTheme="minorHAnsi" w:hAnsiTheme="minorHAnsi"/>
          <w:sz w:val="18"/>
          <w:szCs w:val="18"/>
        </w:rPr>
        <w:tab/>
        <w:t xml:space="preserve">JAVIER ELÍAS ARIAS </w:t>
      </w:r>
      <w:proofErr w:type="spellStart"/>
      <w:r w:rsidRPr="00EF5F0B">
        <w:rPr>
          <w:rFonts w:asciiTheme="minorHAnsi" w:hAnsiTheme="minorHAnsi"/>
          <w:sz w:val="18"/>
          <w:szCs w:val="18"/>
        </w:rPr>
        <w:t>IDÁRRAGA</w:t>
      </w:r>
      <w:proofErr w:type="spellEnd"/>
    </w:p>
    <w:p w:rsidR="00F540C7" w:rsidRPr="00EF5F0B" w:rsidRDefault="00EF5F0B" w:rsidP="00EF5F0B">
      <w:pPr>
        <w:rPr>
          <w:rFonts w:asciiTheme="minorHAnsi" w:hAnsiTheme="minorHAnsi"/>
          <w:sz w:val="18"/>
          <w:szCs w:val="18"/>
        </w:rPr>
      </w:pPr>
      <w:r w:rsidRPr="00EF5F0B">
        <w:rPr>
          <w:rFonts w:asciiTheme="minorHAnsi" w:hAnsiTheme="minorHAnsi"/>
          <w:sz w:val="18"/>
          <w:szCs w:val="18"/>
        </w:rPr>
        <w:t>Accionado:</w:t>
      </w:r>
      <w:r w:rsidRPr="00EF5F0B">
        <w:rPr>
          <w:rFonts w:asciiTheme="minorHAnsi" w:hAnsiTheme="minorHAnsi"/>
          <w:sz w:val="18"/>
          <w:szCs w:val="18"/>
        </w:rPr>
        <w:tab/>
      </w:r>
      <w:r>
        <w:rPr>
          <w:rFonts w:asciiTheme="minorHAnsi" w:hAnsiTheme="minorHAnsi"/>
          <w:sz w:val="18"/>
          <w:szCs w:val="18"/>
        </w:rPr>
        <w:tab/>
      </w:r>
      <w:r w:rsidR="00F540C7" w:rsidRPr="00EF5F0B">
        <w:rPr>
          <w:rFonts w:asciiTheme="minorHAnsi" w:hAnsiTheme="minorHAnsi"/>
          <w:sz w:val="18"/>
          <w:szCs w:val="18"/>
        </w:rPr>
        <w:t>JUZGADO TERCERO CIVIL DEL CIRCUITO DE PEREIRA Y OTRA</w:t>
      </w:r>
    </w:p>
    <w:p w:rsidR="00CC249E" w:rsidRPr="00EF5F0B" w:rsidRDefault="00EF5F0B" w:rsidP="00EF5F0B">
      <w:pPr>
        <w:rPr>
          <w:rFonts w:asciiTheme="minorHAnsi" w:hAnsiTheme="minorHAnsi"/>
          <w:sz w:val="18"/>
          <w:szCs w:val="18"/>
        </w:rPr>
      </w:pPr>
      <w:r w:rsidRPr="00EF5F0B">
        <w:rPr>
          <w:rFonts w:asciiTheme="minorHAnsi" w:hAnsiTheme="minorHAnsi"/>
          <w:sz w:val="18"/>
          <w:szCs w:val="18"/>
        </w:rPr>
        <w:t>Proceso:</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CC249E" w:rsidRPr="00EF5F0B">
        <w:rPr>
          <w:rFonts w:asciiTheme="minorHAnsi" w:hAnsiTheme="minorHAnsi"/>
          <w:sz w:val="18"/>
          <w:szCs w:val="18"/>
        </w:rPr>
        <w:t>Acción de Tutela – Sentencia que niega el amparo solicitado</w:t>
      </w:r>
    </w:p>
    <w:p w:rsidR="00F540C7" w:rsidRPr="00EF5F0B" w:rsidRDefault="00F540C7" w:rsidP="00EF5F0B">
      <w:pPr>
        <w:rPr>
          <w:rFonts w:asciiTheme="minorHAnsi" w:hAnsiTheme="minorHAnsi"/>
          <w:sz w:val="18"/>
          <w:szCs w:val="18"/>
        </w:rPr>
      </w:pPr>
      <w:r w:rsidRPr="00EF5F0B">
        <w:rPr>
          <w:rFonts w:asciiTheme="minorHAnsi" w:hAnsiTheme="minorHAnsi"/>
          <w:sz w:val="18"/>
          <w:szCs w:val="18"/>
        </w:rPr>
        <w:t xml:space="preserve">Magistrado Ponente: </w:t>
      </w:r>
      <w:r w:rsidRPr="00EF5F0B">
        <w:rPr>
          <w:rFonts w:asciiTheme="minorHAnsi" w:hAnsiTheme="minorHAnsi"/>
          <w:sz w:val="18"/>
          <w:szCs w:val="18"/>
        </w:rPr>
        <w:tab/>
      </w:r>
      <w:proofErr w:type="spellStart"/>
      <w:r w:rsidRPr="00EF5F0B">
        <w:rPr>
          <w:rFonts w:asciiTheme="minorHAnsi" w:hAnsiTheme="minorHAnsi"/>
          <w:sz w:val="18"/>
          <w:szCs w:val="18"/>
        </w:rPr>
        <w:t>DUBERNEY</w:t>
      </w:r>
      <w:proofErr w:type="spellEnd"/>
      <w:r w:rsidRPr="00EF5F0B">
        <w:rPr>
          <w:rFonts w:asciiTheme="minorHAnsi" w:hAnsiTheme="minorHAnsi"/>
          <w:sz w:val="18"/>
          <w:szCs w:val="18"/>
        </w:rPr>
        <w:t xml:space="preserve"> GRISALES HERRERA</w:t>
      </w:r>
    </w:p>
    <w:p w:rsidR="003F3338" w:rsidRPr="00EF5F0B" w:rsidRDefault="003F3338" w:rsidP="00EF5F0B">
      <w:pPr>
        <w:rPr>
          <w:rFonts w:asciiTheme="minorHAnsi" w:hAnsiTheme="minorHAnsi"/>
          <w:sz w:val="18"/>
          <w:szCs w:val="18"/>
        </w:rPr>
      </w:pPr>
    </w:p>
    <w:p w:rsidR="00366941" w:rsidRPr="008C2495" w:rsidRDefault="00366941" w:rsidP="00366941">
      <w:pPr>
        <w:pStyle w:val="Textonotapie"/>
        <w:jc w:val="both"/>
        <w:rPr>
          <w:rFonts w:asciiTheme="minorHAnsi" w:hAnsiTheme="minorHAnsi" w:cstheme="minorHAnsi"/>
          <w:b/>
          <w:bCs/>
          <w:sz w:val="18"/>
          <w:szCs w:val="18"/>
          <w:lang w:val="es-CO"/>
        </w:rPr>
      </w:pPr>
      <w:r w:rsidRPr="008C2495">
        <w:rPr>
          <w:rFonts w:asciiTheme="minorHAnsi" w:hAnsiTheme="minorHAnsi" w:cstheme="minorHAnsi"/>
          <w:b/>
          <w:bCs/>
          <w:sz w:val="18"/>
          <w:szCs w:val="18"/>
        </w:rPr>
        <w:t>Tema</w:t>
      </w:r>
      <w:r w:rsidR="008C2495" w:rsidRPr="008C2495">
        <w:rPr>
          <w:rFonts w:asciiTheme="minorHAnsi" w:hAnsiTheme="minorHAnsi" w:cstheme="minorHAnsi"/>
          <w:b/>
          <w:bCs/>
          <w:sz w:val="18"/>
          <w:szCs w:val="18"/>
        </w:rPr>
        <w:t>s</w:t>
      </w:r>
      <w:r w:rsidRPr="008C2495">
        <w:rPr>
          <w:rFonts w:asciiTheme="minorHAnsi" w:hAnsiTheme="minorHAnsi" w:cstheme="minorHAnsi"/>
          <w:b/>
          <w:bCs/>
          <w:sz w:val="18"/>
          <w:szCs w:val="18"/>
        </w:rPr>
        <w:t xml:space="preserve">: </w:t>
      </w:r>
      <w:r w:rsidRPr="008C2495">
        <w:rPr>
          <w:rFonts w:asciiTheme="minorHAnsi" w:hAnsiTheme="minorHAnsi" w:cstheme="minorHAnsi"/>
          <w:b/>
          <w:bCs/>
          <w:sz w:val="18"/>
          <w:szCs w:val="18"/>
        </w:rPr>
        <w:tab/>
      </w:r>
      <w:r w:rsidRPr="008C2495">
        <w:rPr>
          <w:rFonts w:asciiTheme="minorHAnsi" w:hAnsiTheme="minorHAnsi" w:cstheme="minorHAnsi"/>
          <w:b/>
          <w:bCs/>
          <w:sz w:val="18"/>
          <w:szCs w:val="18"/>
        </w:rPr>
        <w:tab/>
      </w:r>
      <w:r w:rsidRPr="008C2495">
        <w:rPr>
          <w:rFonts w:asciiTheme="minorHAnsi" w:hAnsiTheme="minorHAnsi" w:cstheme="minorHAnsi"/>
          <w:b/>
          <w:bCs/>
          <w:sz w:val="18"/>
          <w:szCs w:val="18"/>
        </w:rPr>
        <w:tab/>
      </w:r>
      <w:r w:rsidRPr="008C2495">
        <w:rPr>
          <w:rFonts w:asciiTheme="minorHAnsi" w:hAnsiTheme="minorHAnsi" w:cstheme="minorHAnsi"/>
          <w:b/>
          <w:bCs/>
          <w:sz w:val="18"/>
          <w:szCs w:val="18"/>
          <w:lang w:val="es-CO"/>
        </w:rPr>
        <w:t xml:space="preserve">DEBIDO PROCESO / TUTELA CONTRA PROVIDENCIA JUDICIAL / NIEGA / </w:t>
      </w:r>
      <w:r w:rsidR="005E6AAF">
        <w:rPr>
          <w:rFonts w:asciiTheme="minorHAnsi" w:hAnsiTheme="minorHAnsi" w:cstheme="minorHAnsi"/>
          <w:b/>
          <w:bCs/>
          <w:sz w:val="18"/>
          <w:szCs w:val="18"/>
          <w:lang w:val="es-CO"/>
        </w:rPr>
        <w:t xml:space="preserve">OBLIGACIÓN DE PUBLICAR AVISOS A LA COMUNIDAD / </w:t>
      </w:r>
      <w:r w:rsidRPr="008C2495">
        <w:rPr>
          <w:rFonts w:asciiTheme="minorHAnsi" w:hAnsiTheme="minorHAnsi" w:cstheme="minorHAnsi"/>
          <w:b/>
          <w:bCs/>
          <w:sz w:val="18"/>
          <w:szCs w:val="18"/>
          <w:lang w:val="es-CO"/>
        </w:rPr>
        <w:t xml:space="preserve">NO EXISTE DECISIÓN ARBITRARIA AL </w:t>
      </w:r>
      <w:r w:rsidR="005E6AAF">
        <w:rPr>
          <w:rFonts w:asciiTheme="minorHAnsi" w:hAnsiTheme="minorHAnsi" w:cstheme="minorHAnsi"/>
          <w:b/>
          <w:bCs/>
          <w:sz w:val="18"/>
          <w:szCs w:val="18"/>
          <w:lang w:val="es-CO"/>
        </w:rPr>
        <w:t>IMPONER ESA CARGA EN A</w:t>
      </w:r>
      <w:r w:rsidRPr="008C2495">
        <w:rPr>
          <w:rFonts w:asciiTheme="minorHAnsi" w:hAnsiTheme="minorHAnsi" w:cstheme="minorHAnsi"/>
          <w:b/>
          <w:bCs/>
          <w:sz w:val="18"/>
          <w:szCs w:val="18"/>
          <w:lang w:val="es-CO"/>
        </w:rPr>
        <w:t>CCIÓN POPULAR.</w:t>
      </w:r>
      <w:r w:rsidR="005E6AAF">
        <w:rPr>
          <w:rFonts w:asciiTheme="minorHAnsi" w:hAnsiTheme="minorHAnsi" w:cstheme="minorHAnsi"/>
          <w:b/>
          <w:bCs/>
          <w:sz w:val="18"/>
          <w:szCs w:val="18"/>
          <w:lang w:val="es-CO"/>
        </w:rPr>
        <w:t xml:space="preserve"> /</w:t>
      </w:r>
      <w:r w:rsidRPr="008C2495">
        <w:rPr>
          <w:rFonts w:asciiTheme="minorHAnsi" w:hAnsiTheme="minorHAnsi" w:cstheme="minorHAnsi"/>
          <w:b/>
          <w:bCs/>
          <w:sz w:val="18"/>
          <w:szCs w:val="18"/>
          <w:lang w:val="es-CO"/>
        </w:rPr>
        <w:t xml:space="preserve"> </w:t>
      </w:r>
      <w:r w:rsidRPr="008C2495">
        <w:rPr>
          <w:rFonts w:asciiTheme="minorHAnsi" w:hAnsiTheme="minorHAnsi" w:cstheme="minorHAnsi"/>
          <w:bCs/>
          <w:sz w:val="18"/>
          <w:szCs w:val="18"/>
          <w:lang w:val="es-CO"/>
        </w:rPr>
        <w:t>“</w:t>
      </w:r>
      <w:r w:rsidRPr="008C2495">
        <w:rPr>
          <w:rFonts w:asciiTheme="minorHAnsi" w:hAnsiTheme="minorHAnsi" w:cstheme="minorHAnsi"/>
          <w:bCs/>
          <w:sz w:val="18"/>
          <w:szCs w:val="18"/>
        </w:rPr>
        <w:t xml:space="preserve">El artículo 5º-3º de la Ley 472, prescribe como obligación del juez, impulsar oficiosamente el trámite de las acciones populares; por su parte el artículo 21, consagra, entre otras, la obligación de informar sobre la existencia del amparo a los miembros de la comunidad por intermedio de medios masivos de comunicación o cualquier otro eficaz; mientras </w:t>
      </w:r>
      <w:r w:rsidRPr="008C2495">
        <w:rPr>
          <w:rFonts w:asciiTheme="minorHAnsi" w:hAnsiTheme="minorHAnsi" w:cstheme="minorHAnsi"/>
          <w:bCs/>
          <w:sz w:val="18"/>
          <w:szCs w:val="18"/>
          <w:lang w:val="es-CO"/>
        </w:rPr>
        <w:t xml:space="preserve">que el artículo 44 ídem establece que en estos asuntos </w:t>
      </w:r>
      <w:r w:rsidRPr="008C2495">
        <w:rPr>
          <w:rFonts w:asciiTheme="minorHAnsi" w:hAnsiTheme="minorHAnsi" w:cstheme="minorHAnsi"/>
          <w:bCs/>
          <w:sz w:val="18"/>
          <w:szCs w:val="18"/>
        </w:rPr>
        <w:t xml:space="preserve">se aplicarán las disposiciones del </w:t>
      </w:r>
      <w:proofErr w:type="spellStart"/>
      <w:r w:rsidRPr="008C2495">
        <w:rPr>
          <w:rFonts w:asciiTheme="minorHAnsi" w:hAnsiTheme="minorHAnsi" w:cstheme="minorHAnsi"/>
          <w:bCs/>
          <w:sz w:val="18"/>
          <w:szCs w:val="18"/>
        </w:rPr>
        <w:t>CPC</w:t>
      </w:r>
      <w:proofErr w:type="spellEnd"/>
      <w:r w:rsidRPr="008C2495">
        <w:rPr>
          <w:rFonts w:asciiTheme="minorHAnsi" w:hAnsiTheme="minorHAnsi" w:cstheme="minorHAnsi"/>
          <w:bCs/>
          <w:sz w:val="18"/>
          <w:szCs w:val="18"/>
        </w:rPr>
        <w:t xml:space="preserve"> </w:t>
      </w:r>
      <w:r w:rsidRPr="008C2495">
        <w:rPr>
          <w:rFonts w:asciiTheme="minorHAnsi" w:hAnsiTheme="minorHAnsi" w:cstheme="minorHAnsi"/>
          <w:bCs/>
          <w:sz w:val="18"/>
          <w:szCs w:val="18"/>
          <w:lang w:val="es-CO"/>
        </w:rPr>
        <w:t xml:space="preserve">(Hoy </w:t>
      </w:r>
      <w:proofErr w:type="spellStart"/>
      <w:r w:rsidRPr="008C2495">
        <w:rPr>
          <w:rFonts w:asciiTheme="minorHAnsi" w:hAnsiTheme="minorHAnsi" w:cstheme="minorHAnsi"/>
          <w:bCs/>
          <w:sz w:val="18"/>
          <w:szCs w:val="18"/>
          <w:lang w:val="es-CO"/>
        </w:rPr>
        <w:t>CGP</w:t>
      </w:r>
      <w:proofErr w:type="spellEnd"/>
      <w:r w:rsidRPr="008C2495">
        <w:rPr>
          <w:rFonts w:asciiTheme="minorHAnsi" w:hAnsiTheme="minorHAnsi" w:cstheme="minorHAnsi"/>
          <w:bCs/>
          <w:sz w:val="18"/>
          <w:szCs w:val="18"/>
          <w:lang w:val="es-CO"/>
        </w:rPr>
        <w:t>)</w:t>
      </w:r>
      <w:r w:rsidRPr="008C2495">
        <w:rPr>
          <w:rFonts w:asciiTheme="minorHAnsi" w:hAnsiTheme="minorHAnsi" w:cstheme="minorHAnsi"/>
          <w:bCs/>
          <w:sz w:val="18"/>
          <w:szCs w:val="18"/>
        </w:rPr>
        <w:t>, en los aspectos no regulados en la Ley. A partir de lo dicho, podría llegarse a la conclusión de que prima el impulso oficioso del juez director del proceso, pero lo cierto es que, la norma tampoco consagra una exoneración de las cargas (Notificación del accionado a expensas del accionante o la publicación del aviso a la comunidad) que pueda imponerle al actor, el juez de conocimiento. Dentro de ese contexto, si bien se le ha impuesto al actor el deber de avisar a la comunidad por al accionado, ello estima la Sala no puede considerarse como un actuar antojadizo o injustificado del juez que vulnere sus derechos, ni refleja una acción tendiente a esquivar el impulso oficioso que le atribuye la citada Ley, ya que, esas son  gestiones que permiten inferir una mínima diligencia por parte del promotor de la acción con el fin de obtener la protección de los derechos colect</w:t>
      </w:r>
      <w:bookmarkStart w:id="0" w:name="_GoBack"/>
      <w:bookmarkEnd w:id="0"/>
      <w:r w:rsidRPr="008C2495">
        <w:rPr>
          <w:rFonts w:asciiTheme="minorHAnsi" w:hAnsiTheme="minorHAnsi" w:cstheme="minorHAnsi"/>
          <w:bCs/>
          <w:sz w:val="18"/>
          <w:szCs w:val="18"/>
        </w:rPr>
        <w:t>ivos vulnerados; tal como lo ha reconocido el CE.”.</w:t>
      </w:r>
    </w:p>
    <w:p w:rsidR="00366941" w:rsidRPr="008C2495" w:rsidRDefault="00366941" w:rsidP="00366941">
      <w:pPr>
        <w:pStyle w:val="Textonotapie"/>
        <w:jc w:val="both"/>
        <w:rPr>
          <w:rFonts w:asciiTheme="minorHAnsi" w:hAnsiTheme="minorHAnsi" w:cstheme="minorHAnsi"/>
          <w:sz w:val="18"/>
          <w:szCs w:val="18"/>
          <w:lang w:val="es-CO" w:eastAsia="fr-FR"/>
        </w:rPr>
      </w:pPr>
    </w:p>
    <w:p w:rsidR="00366941" w:rsidRPr="008C2495" w:rsidRDefault="00366941" w:rsidP="00366941">
      <w:pPr>
        <w:pStyle w:val="Textonotapie"/>
        <w:jc w:val="both"/>
        <w:rPr>
          <w:rFonts w:asciiTheme="minorHAnsi" w:hAnsiTheme="minorHAnsi" w:cstheme="minorHAnsi"/>
          <w:sz w:val="18"/>
          <w:szCs w:val="18"/>
          <w:lang w:val="es-CO"/>
        </w:rPr>
      </w:pPr>
      <w:r w:rsidRPr="008C2495">
        <w:rPr>
          <w:rFonts w:asciiTheme="minorHAnsi" w:hAnsiTheme="minorHAnsi" w:cstheme="minorHAnsi"/>
          <w:b/>
          <w:sz w:val="18"/>
          <w:szCs w:val="18"/>
          <w:lang w:val="es-CO" w:eastAsia="fr-FR"/>
        </w:rPr>
        <w:t xml:space="preserve">Citación jurisprudencial: </w:t>
      </w:r>
      <w:r w:rsidRPr="008C2495">
        <w:rPr>
          <w:rFonts w:asciiTheme="minorHAnsi" w:hAnsiTheme="minorHAnsi" w:cstheme="minorHAnsi"/>
          <w:sz w:val="18"/>
          <w:szCs w:val="18"/>
          <w:lang w:val="es-MX"/>
        </w:rPr>
        <w:t xml:space="preserve">CORTE CONSTITUCIONAL, Sentencia T-917 de 2011, Sentencia C-590 de 2005, Sentencias </w:t>
      </w:r>
      <w:r w:rsidRPr="008C2495">
        <w:rPr>
          <w:rFonts w:asciiTheme="minorHAnsi" w:hAnsiTheme="minorHAnsi" w:cstheme="minorHAnsi"/>
          <w:bCs/>
          <w:sz w:val="18"/>
          <w:szCs w:val="18"/>
          <w:lang w:val="es-CO"/>
        </w:rPr>
        <w:t xml:space="preserve">T-107 de 2016, Sentencia </w:t>
      </w:r>
      <w:r w:rsidRPr="008C2495">
        <w:rPr>
          <w:rFonts w:asciiTheme="minorHAnsi" w:hAnsiTheme="minorHAnsi" w:cstheme="minorHAnsi"/>
          <w:sz w:val="18"/>
          <w:szCs w:val="18"/>
          <w:lang w:val="es-MX"/>
        </w:rPr>
        <w:t xml:space="preserve">T-064 de 2015, Sentencia T-307 de 2015, </w:t>
      </w:r>
      <w:r w:rsidRPr="008C2495">
        <w:rPr>
          <w:rFonts w:asciiTheme="minorHAnsi" w:hAnsiTheme="minorHAnsi" w:cstheme="minorHAnsi"/>
          <w:sz w:val="18"/>
          <w:szCs w:val="18"/>
          <w:lang w:val="es-CO"/>
        </w:rPr>
        <w:t>Sentencia T-134 de 1994 / Sentencia T-103 de 2014 / Sentencia T-567 de 1998 / Sentencia T-662 de 2013 /</w:t>
      </w:r>
      <w:r w:rsidRPr="008C2495">
        <w:rPr>
          <w:rFonts w:asciiTheme="minorHAnsi" w:hAnsiTheme="minorHAnsi" w:cstheme="minorHAnsi"/>
          <w:b/>
          <w:bCs/>
          <w:color w:val="2D2D2D"/>
          <w:sz w:val="18"/>
          <w:szCs w:val="18"/>
          <w:bdr w:val="none" w:sz="0" w:space="0" w:color="auto" w:frame="1"/>
          <w:shd w:val="clear" w:color="auto" w:fill="FFFFFF"/>
          <w:lang w:val="es-CO"/>
        </w:rPr>
        <w:t xml:space="preserve"> </w:t>
      </w:r>
      <w:r w:rsidRPr="008C2495">
        <w:rPr>
          <w:rFonts w:asciiTheme="minorHAnsi" w:hAnsiTheme="minorHAnsi" w:cstheme="minorHAnsi"/>
          <w:bCs/>
          <w:sz w:val="18"/>
          <w:szCs w:val="18"/>
          <w:bdr w:val="none" w:sz="0" w:space="0" w:color="auto" w:frame="1"/>
          <w:shd w:val="clear" w:color="auto" w:fill="FFFFFF"/>
          <w:lang w:val="es-CO"/>
        </w:rPr>
        <w:t xml:space="preserve">Sentencia T-037 de 2016 / Sentencia T-120 de 2016 / </w:t>
      </w:r>
      <w:r w:rsidRPr="008C2495">
        <w:rPr>
          <w:rFonts w:asciiTheme="minorHAnsi" w:hAnsiTheme="minorHAnsi" w:cstheme="minorHAnsi"/>
          <w:sz w:val="18"/>
          <w:szCs w:val="18"/>
          <w:lang w:val="es-CO"/>
        </w:rPr>
        <w:t>Sentencia T-231 de 1994 / Sentencia T-831 de 2012 / Sentencia T-573 de 1997 / Sentencia T-001 de 1999 / S</w:t>
      </w:r>
      <w:proofErr w:type="spellStart"/>
      <w:r w:rsidRPr="008C2495">
        <w:rPr>
          <w:rFonts w:asciiTheme="minorHAnsi" w:hAnsiTheme="minorHAnsi" w:cstheme="minorHAnsi"/>
          <w:sz w:val="18"/>
          <w:szCs w:val="18"/>
          <w:lang w:val="es-MX"/>
        </w:rPr>
        <w:t>entencia</w:t>
      </w:r>
      <w:proofErr w:type="spellEnd"/>
      <w:r w:rsidRPr="008C2495">
        <w:rPr>
          <w:rFonts w:asciiTheme="minorHAnsi" w:hAnsiTheme="minorHAnsi" w:cstheme="minorHAnsi"/>
          <w:sz w:val="18"/>
          <w:szCs w:val="18"/>
          <w:lang w:val="es-MX"/>
        </w:rPr>
        <w:t xml:space="preserve"> SU-949 de 2014 / Sentencia T-192 de 2015 / </w:t>
      </w:r>
      <w:r w:rsidRPr="008C2495">
        <w:rPr>
          <w:rFonts w:asciiTheme="minorHAnsi" w:hAnsiTheme="minorHAnsi" w:cstheme="minorHAnsi"/>
          <w:sz w:val="18"/>
          <w:szCs w:val="18"/>
          <w:lang w:val="es-CO"/>
        </w:rPr>
        <w:t xml:space="preserve">Sentencia T-193 de 2008 / Sentencia T-185 de 2013 / Sentencia </w:t>
      </w:r>
      <w:r w:rsidRPr="008C2495">
        <w:rPr>
          <w:rFonts w:asciiTheme="minorHAnsi" w:hAnsiTheme="minorHAnsi" w:cstheme="minorHAnsi"/>
          <w:bCs/>
          <w:sz w:val="18"/>
          <w:szCs w:val="18"/>
          <w:lang w:val="es-CO"/>
        </w:rPr>
        <w:t>SU-240 de 2015</w:t>
      </w:r>
      <w:r w:rsidRPr="008C2495">
        <w:rPr>
          <w:rFonts w:asciiTheme="minorHAnsi" w:hAnsiTheme="minorHAnsi" w:cstheme="minorHAnsi"/>
          <w:sz w:val="18"/>
          <w:szCs w:val="18"/>
          <w:lang w:val="es-CO"/>
        </w:rPr>
        <w:t xml:space="preserve"> / Sentencia </w:t>
      </w:r>
      <w:r w:rsidRPr="008C2495">
        <w:rPr>
          <w:rFonts w:asciiTheme="minorHAnsi" w:hAnsiTheme="minorHAnsi" w:cstheme="minorHAnsi"/>
          <w:bCs/>
          <w:sz w:val="18"/>
          <w:szCs w:val="18"/>
          <w:lang w:val="es-CO"/>
        </w:rPr>
        <w:t>T-001 de 2016 /</w:t>
      </w:r>
      <w:r w:rsidRPr="008C2495">
        <w:rPr>
          <w:rFonts w:asciiTheme="minorHAnsi" w:hAnsiTheme="minorHAnsi" w:cstheme="minorHAnsi"/>
          <w:sz w:val="18"/>
          <w:szCs w:val="18"/>
          <w:lang w:val="es-CO"/>
        </w:rPr>
        <w:t xml:space="preserve"> Sentencia T-057 de 2016 / Sentencia T-095 de 2015 / Sentencia T-717 de 2011 / Sentencia T-429 de 2011 / Sentencia T-184 de 2005 / Sentencia T-443 de 1995 / Sentencia T-149 de 1995 / Sentencia T-308 de 1995 / Sentencia T-001 de 1997 / Sentencia T-560 de 2009.</w:t>
      </w:r>
    </w:p>
    <w:p w:rsidR="00366941" w:rsidRPr="008C2495" w:rsidRDefault="00366941" w:rsidP="00366941">
      <w:pPr>
        <w:pStyle w:val="Textonotapie"/>
        <w:jc w:val="both"/>
        <w:rPr>
          <w:rFonts w:asciiTheme="minorHAnsi" w:hAnsiTheme="minorHAnsi" w:cstheme="minorHAnsi"/>
          <w:sz w:val="18"/>
          <w:szCs w:val="18"/>
          <w:lang w:val="es-CO"/>
        </w:rPr>
      </w:pPr>
      <w:r w:rsidRPr="008C2495">
        <w:rPr>
          <w:rFonts w:asciiTheme="minorHAnsi" w:hAnsiTheme="minorHAnsi" w:cstheme="minorHAnsi"/>
          <w:sz w:val="18"/>
          <w:szCs w:val="18"/>
          <w:lang w:val="es-CO"/>
        </w:rPr>
        <w:t xml:space="preserve"> </w:t>
      </w:r>
    </w:p>
    <w:p w:rsidR="00366941" w:rsidRPr="008C2495" w:rsidRDefault="00366941" w:rsidP="00366941">
      <w:pPr>
        <w:pStyle w:val="Textonotapie"/>
        <w:jc w:val="both"/>
        <w:rPr>
          <w:rFonts w:asciiTheme="minorHAnsi" w:hAnsiTheme="minorHAnsi" w:cstheme="minorHAnsi"/>
          <w:sz w:val="18"/>
          <w:szCs w:val="18"/>
          <w:lang w:val="es-CO"/>
        </w:rPr>
      </w:pPr>
      <w:r w:rsidRPr="008C2495">
        <w:rPr>
          <w:rFonts w:asciiTheme="minorHAnsi" w:hAnsiTheme="minorHAnsi" w:cstheme="minorHAnsi"/>
          <w:sz w:val="18"/>
          <w:szCs w:val="18"/>
          <w:lang w:val="es-CO"/>
        </w:rPr>
        <w:t xml:space="preserve">CONSEJO DE ESTADO, </w:t>
      </w:r>
      <w:proofErr w:type="spellStart"/>
      <w:r w:rsidRPr="008C2495">
        <w:rPr>
          <w:rFonts w:asciiTheme="minorHAnsi" w:hAnsiTheme="minorHAnsi" w:cstheme="minorHAnsi"/>
          <w:sz w:val="18"/>
          <w:szCs w:val="18"/>
          <w:lang w:val="es-CO"/>
        </w:rPr>
        <w:t>SCA</w:t>
      </w:r>
      <w:proofErr w:type="spellEnd"/>
      <w:r w:rsidRPr="008C2495">
        <w:rPr>
          <w:rFonts w:asciiTheme="minorHAnsi" w:hAnsiTheme="minorHAnsi" w:cstheme="minorHAnsi"/>
          <w:sz w:val="18"/>
          <w:szCs w:val="18"/>
          <w:lang w:val="es-CO"/>
        </w:rPr>
        <w:t>, Sección Primera, Sentencia del 19 de noviembre de 2009, Rad. 41001-23-31-000-2004-01175-01(AP).</w:t>
      </w:r>
    </w:p>
    <w:p w:rsidR="00366941" w:rsidRPr="008C2495" w:rsidRDefault="00366941" w:rsidP="00366941">
      <w:pPr>
        <w:pStyle w:val="Textonotapie"/>
        <w:jc w:val="both"/>
        <w:rPr>
          <w:rFonts w:asciiTheme="minorHAnsi" w:hAnsiTheme="minorHAnsi" w:cstheme="minorHAnsi"/>
          <w:b/>
          <w:sz w:val="18"/>
          <w:szCs w:val="18"/>
          <w:lang w:val="es-CO" w:eastAsia="fr-FR"/>
        </w:rPr>
      </w:pPr>
    </w:p>
    <w:p w:rsidR="00366941" w:rsidRPr="008C2495" w:rsidRDefault="00366941" w:rsidP="00366941">
      <w:pPr>
        <w:pStyle w:val="Textonotapie"/>
        <w:jc w:val="both"/>
        <w:rPr>
          <w:rFonts w:asciiTheme="minorHAnsi" w:hAnsiTheme="minorHAnsi" w:cstheme="minorHAnsi"/>
          <w:sz w:val="18"/>
          <w:szCs w:val="18"/>
          <w:lang w:val="es-CO"/>
        </w:rPr>
      </w:pPr>
      <w:r w:rsidRPr="008C2495">
        <w:rPr>
          <w:rFonts w:asciiTheme="minorHAnsi" w:hAnsiTheme="minorHAnsi" w:cstheme="minorHAnsi"/>
          <w:sz w:val="18"/>
          <w:szCs w:val="18"/>
          <w:lang w:val="es-CO"/>
        </w:rPr>
        <w:t xml:space="preserve">CORTE SUPREMA DE JUSTICIA, </w:t>
      </w:r>
      <w:proofErr w:type="spellStart"/>
      <w:r w:rsidRPr="008C2495">
        <w:rPr>
          <w:rFonts w:asciiTheme="minorHAnsi" w:hAnsiTheme="minorHAnsi" w:cstheme="minorHAnsi"/>
          <w:sz w:val="18"/>
          <w:szCs w:val="18"/>
          <w:lang w:val="es-CO"/>
        </w:rPr>
        <w:t>SCC</w:t>
      </w:r>
      <w:proofErr w:type="spellEnd"/>
      <w:r w:rsidRPr="008C2495">
        <w:rPr>
          <w:rFonts w:asciiTheme="minorHAnsi" w:hAnsiTheme="minorHAnsi" w:cstheme="minorHAnsi"/>
          <w:sz w:val="18"/>
          <w:szCs w:val="18"/>
          <w:lang w:val="es-CO"/>
        </w:rPr>
        <w:t xml:space="preserve">, Sentencia del 03 de marzo de 2011, Rad. 1001-22-03-000-2011-00029-01 / Sentencia STC7441-2016 / Providencias STC5116-2015 / </w:t>
      </w:r>
      <w:r w:rsidRPr="008C2495">
        <w:rPr>
          <w:rFonts w:asciiTheme="minorHAnsi" w:hAnsiTheme="minorHAnsi" w:cstheme="minorHAnsi"/>
          <w:sz w:val="18"/>
          <w:szCs w:val="18"/>
          <w:lang w:val="es-ES_tradnl"/>
        </w:rPr>
        <w:t>STC10743-2015</w:t>
      </w:r>
      <w:r w:rsidRPr="008C2495">
        <w:rPr>
          <w:rFonts w:asciiTheme="minorHAnsi" w:hAnsiTheme="minorHAnsi" w:cstheme="minorHAnsi"/>
          <w:b/>
          <w:sz w:val="18"/>
          <w:szCs w:val="18"/>
          <w:lang w:val="es-ES_tradnl"/>
        </w:rPr>
        <w:t xml:space="preserve"> </w:t>
      </w:r>
      <w:r w:rsidRPr="008C2495">
        <w:rPr>
          <w:rFonts w:asciiTheme="minorHAnsi" w:hAnsiTheme="minorHAnsi" w:cstheme="minorHAnsi"/>
          <w:sz w:val="18"/>
          <w:szCs w:val="18"/>
          <w:lang w:val="es-ES_tradnl"/>
        </w:rPr>
        <w:t>/</w:t>
      </w:r>
      <w:r w:rsidRPr="008C2495">
        <w:rPr>
          <w:rFonts w:asciiTheme="minorHAnsi" w:hAnsiTheme="minorHAnsi" w:cstheme="minorHAnsi"/>
          <w:b/>
          <w:sz w:val="18"/>
          <w:szCs w:val="18"/>
          <w:lang w:val="es-ES_tradnl"/>
        </w:rPr>
        <w:t xml:space="preserve"> </w:t>
      </w:r>
      <w:r w:rsidRPr="008C2495">
        <w:rPr>
          <w:rFonts w:asciiTheme="minorHAnsi" w:hAnsiTheme="minorHAnsi" w:cstheme="minorHAnsi"/>
          <w:sz w:val="18"/>
          <w:szCs w:val="18"/>
          <w:lang w:val="es-CO"/>
        </w:rPr>
        <w:t>STC7441-2016 / Sentencias STC7545-2016 / STC10685-2016 / STC12859-2016.</w:t>
      </w:r>
    </w:p>
    <w:p w:rsidR="00366941" w:rsidRPr="008C2495" w:rsidRDefault="00366941" w:rsidP="00366941">
      <w:pPr>
        <w:pStyle w:val="Textonotapie"/>
        <w:jc w:val="both"/>
        <w:rPr>
          <w:rFonts w:asciiTheme="minorHAnsi" w:hAnsiTheme="minorHAnsi" w:cstheme="minorHAnsi"/>
          <w:sz w:val="18"/>
          <w:szCs w:val="18"/>
          <w:lang w:val="es-CO"/>
        </w:rPr>
      </w:pPr>
    </w:p>
    <w:p w:rsidR="00366941" w:rsidRPr="00F540C7" w:rsidRDefault="00366941" w:rsidP="00366941">
      <w:pPr>
        <w:pStyle w:val="Sinespaciado"/>
        <w:jc w:val="both"/>
        <w:rPr>
          <w:rFonts w:asciiTheme="minorHAnsi" w:hAnsiTheme="minorHAnsi" w:cstheme="minorHAnsi"/>
          <w:sz w:val="18"/>
          <w:szCs w:val="18"/>
        </w:rPr>
      </w:pPr>
      <w:r w:rsidRPr="008C2495">
        <w:rPr>
          <w:rFonts w:asciiTheme="minorHAnsi" w:hAnsiTheme="minorHAnsi" w:cstheme="minorHAnsi"/>
          <w:sz w:val="18"/>
          <w:szCs w:val="18"/>
          <w:lang w:val="es-CO"/>
        </w:rPr>
        <w:t>TRIBUNAL SUPERIOR DE PEREIRA, Sala Civil-Familia, Sentencia del 30 de junio de 2016, Rad. 2016-00554-00 / Sentencia del 11 de agosto 2016, Rad. 2016-00750-00.</w:t>
      </w:r>
    </w:p>
    <w:p w:rsidR="006B3E9D" w:rsidRDefault="006B3E9D" w:rsidP="006B3E9D">
      <w:pPr>
        <w:pStyle w:val="Sinespaciado"/>
        <w:tabs>
          <w:tab w:val="left" w:pos="3579"/>
        </w:tabs>
        <w:spacing w:line="360" w:lineRule="auto"/>
        <w:jc w:val="both"/>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F009CB">
        <w:rPr>
          <w:rFonts w:ascii="Arial" w:hAnsi="Arial" w:cs="Arial"/>
          <w:sz w:val="22"/>
        </w:rPr>
        <w:t xml:space="preserve">Tercero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 xml:space="preserve">Defensoría del Pueblo, Regional </w:t>
      </w:r>
      <w:r w:rsidR="007F3E77">
        <w:rPr>
          <w:rFonts w:ascii="Arial" w:hAnsi="Arial" w:cs="Arial"/>
          <w:sz w:val="22"/>
          <w:szCs w:val="22"/>
        </w:rPr>
        <w:t xml:space="preserve">Bogotá </w:t>
      </w:r>
      <w:r w:rsidR="00DB41DC">
        <w:rPr>
          <w:rFonts w:ascii="Arial" w:hAnsi="Arial" w:cs="Arial"/>
          <w:sz w:val="22"/>
          <w:szCs w:val="22"/>
        </w:rPr>
        <w:t>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7F3E77">
        <w:rPr>
          <w:rFonts w:ascii="Arial" w:hAnsi="Arial" w:cs="Arial"/>
          <w:sz w:val="22"/>
        </w:rPr>
        <w:t>00972</w:t>
      </w:r>
      <w:r w:rsidR="005118AB">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7F3E77">
        <w:rPr>
          <w:rFonts w:ascii="Arial" w:hAnsi="Arial" w:cs="Arial"/>
          <w:sz w:val="22"/>
        </w:rPr>
        <w:t>972</w:t>
      </w:r>
      <w:r w:rsidR="005118AB">
        <w:rPr>
          <w:rFonts w:ascii="Arial" w:hAnsi="Arial" w:cs="Arial"/>
          <w:sz w:val="22"/>
        </w:rPr>
        <w:t>)</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sidRPr="00F325F0">
        <w:rPr>
          <w:rFonts w:ascii="Arial" w:hAnsi="Arial" w:cs="Arial"/>
          <w:sz w:val="20"/>
          <w:szCs w:val="22"/>
        </w:rPr>
        <w:t>Defecto sustantivo</w:t>
      </w:r>
      <w:r w:rsidR="00F325F0" w:rsidRPr="00F325F0">
        <w:rPr>
          <w:rFonts w:ascii="Arial" w:hAnsi="Arial" w:cs="Arial"/>
          <w:sz w:val="20"/>
          <w:szCs w:val="22"/>
        </w:rPr>
        <w:t xml:space="preserve"> -</w:t>
      </w:r>
      <w:r w:rsidR="00907AF0" w:rsidRPr="00F325F0">
        <w:rPr>
          <w:rFonts w:ascii="Arial" w:hAnsi="Arial" w:cs="Arial"/>
          <w:sz w:val="20"/>
          <w:szCs w:val="22"/>
        </w:rPr>
        <w:t xml:space="preserve"> Cosa 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7F3E77" w:rsidRDefault="007E004A" w:rsidP="001E5C81">
      <w:pPr>
        <w:spacing w:line="360" w:lineRule="auto"/>
        <w:ind w:left="708" w:firstLine="708"/>
        <w:rPr>
          <w:rFonts w:ascii="Arial" w:hAnsi="Arial" w:cs="Arial"/>
          <w:b/>
          <w:bCs/>
          <w:sz w:val="22"/>
          <w:szCs w:val="22"/>
          <w:lang w:val="es-CO"/>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9D7B72">
        <w:rPr>
          <w:rFonts w:ascii="Arial" w:hAnsi="Arial"/>
          <w:sz w:val="22"/>
          <w:szCs w:val="22"/>
        </w:rPr>
        <w:t>532 del 08-11-2016</w:t>
      </w:r>
    </w:p>
    <w:p w:rsidR="001E5C81" w:rsidRDefault="001E5C81" w:rsidP="001E5C81">
      <w:pPr>
        <w:pBdr>
          <w:bottom w:val="double" w:sz="6" w:space="1" w:color="auto"/>
        </w:pBdr>
        <w:spacing w:line="360" w:lineRule="auto"/>
        <w:jc w:val="center"/>
        <w:rPr>
          <w:rFonts w:ascii="Arial" w:hAnsi="Arial" w:cs="Arial"/>
          <w:b/>
          <w:bCs/>
          <w:sz w:val="22"/>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9D7B72">
        <w:rPr>
          <w:rFonts w:ascii="Arial" w:hAnsi="Arial" w:cs="Arial"/>
          <w:iCs/>
          <w:smallCaps/>
          <w:sz w:val="28"/>
          <w:szCs w:val="28"/>
          <w:lang w:val="es-CO"/>
        </w:rPr>
        <w:t xml:space="preserve">ocho </w:t>
      </w:r>
      <w:r w:rsidRPr="00BC082A">
        <w:rPr>
          <w:rFonts w:ascii="Arial" w:hAnsi="Arial" w:cs="Arial"/>
          <w:iCs/>
          <w:smallCaps/>
          <w:sz w:val="28"/>
          <w:szCs w:val="28"/>
          <w:lang w:val="es-CO"/>
        </w:rPr>
        <w:t>(</w:t>
      </w:r>
      <w:r w:rsidR="009D7B72">
        <w:rPr>
          <w:rFonts w:ascii="Arial" w:hAnsi="Arial" w:cs="Arial"/>
          <w:iCs/>
          <w:smallCaps/>
          <w:sz w:val="28"/>
          <w:szCs w:val="28"/>
          <w:lang w:val="es-CO"/>
        </w:rPr>
        <w:t>8</w:t>
      </w:r>
      <w:r w:rsidRPr="00BC082A">
        <w:rPr>
          <w:rFonts w:ascii="Arial" w:hAnsi="Arial" w:cs="Arial"/>
          <w:iCs/>
          <w:smallCaps/>
          <w:sz w:val="28"/>
          <w:szCs w:val="28"/>
          <w:lang w:val="es-CO"/>
        </w:rPr>
        <w:t xml:space="preserve">) de </w:t>
      </w:r>
      <w:r w:rsidR="005847FF">
        <w:rPr>
          <w:rFonts w:ascii="Arial" w:hAnsi="Arial" w:cs="Arial"/>
          <w:iCs/>
          <w:smallCaps/>
          <w:sz w:val="28"/>
          <w:szCs w:val="28"/>
          <w:lang w:val="es-CO"/>
        </w:rPr>
        <w:t xml:space="preserve">noviembre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Textoindependiente"/>
        <w:numPr>
          <w:ilvl w:val="0"/>
          <w:numId w:val="1"/>
        </w:numPr>
        <w:spacing w:line="360" w:lineRule="auto"/>
        <w:rPr>
          <w:rFonts w:ascii="Arial" w:hAnsi="Arial"/>
          <w:smallCaps/>
          <w:sz w:val="28"/>
          <w:szCs w:val="24"/>
        </w:rPr>
      </w:pPr>
      <w:r>
        <w:rPr>
          <w:rFonts w:ascii="Arial" w:hAnsi="Arial"/>
          <w:smallCaps/>
          <w:sz w:val="28"/>
          <w:szCs w:val="24"/>
        </w:rPr>
        <w:t>E</w:t>
      </w:r>
      <w:r w:rsidRPr="00C57632">
        <w:rPr>
          <w:rFonts w:ascii="Arial" w:hAnsi="Arial"/>
          <w:smallCaps/>
          <w:sz w:val="28"/>
          <w:szCs w:val="24"/>
        </w:rPr>
        <w:t>l asunto por decidir</w:t>
      </w:r>
    </w:p>
    <w:p w:rsidR="00DB41DC" w:rsidRPr="00F009CB" w:rsidRDefault="00DB41DC" w:rsidP="00DB41DC">
      <w:pPr>
        <w:pStyle w:val="Textoindependiente"/>
        <w:spacing w:line="360" w:lineRule="auto"/>
        <w:rPr>
          <w:rFonts w:ascii="Arial" w:hAnsi="Arial"/>
          <w:sz w:val="20"/>
          <w:szCs w:val="24"/>
        </w:rPr>
      </w:pPr>
    </w:p>
    <w:p w:rsidR="00DB41DC" w:rsidRDefault="007F3E77" w:rsidP="00DB41DC">
      <w:pPr>
        <w:pStyle w:val="Textoindependiente"/>
        <w:spacing w:line="360" w:lineRule="auto"/>
        <w:rPr>
          <w:rFonts w:ascii="Arial" w:hAnsi="Arial"/>
          <w:szCs w:val="24"/>
        </w:rPr>
      </w:pPr>
      <w:r>
        <w:rPr>
          <w:rFonts w:ascii="Arial" w:hAnsi="Arial"/>
          <w:szCs w:val="24"/>
        </w:rPr>
        <w:t>La acción constitucional</w:t>
      </w:r>
      <w:r w:rsidR="00DB41DC">
        <w:rPr>
          <w:rFonts w:ascii="Arial" w:hAnsi="Arial"/>
          <w:szCs w:val="24"/>
        </w:rPr>
        <w:t xml:space="preserve"> de la referencia, adelantadas las debidas actuaciones con el trámite preferente y sumario, sin que se eviden</w:t>
      </w:r>
      <w:r>
        <w:rPr>
          <w:rFonts w:ascii="Arial" w:hAnsi="Arial"/>
          <w:szCs w:val="24"/>
        </w:rPr>
        <w:t>cien causales de nulidad que la invaliden</w:t>
      </w:r>
      <w:r w:rsidR="00DB41DC">
        <w:rPr>
          <w:rFonts w:ascii="Arial" w:hAnsi="Arial"/>
          <w:szCs w:val="24"/>
        </w:rPr>
        <w:t>.</w:t>
      </w:r>
    </w:p>
    <w:p w:rsidR="00DB41DC" w:rsidRPr="00F009CB" w:rsidRDefault="00DB41DC" w:rsidP="00DB41DC">
      <w:pPr>
        <w:pStyle w:val="Textoindependiente"/>
        <w:spacing w:line="360" w:lineRule="auto"/>
        <w:rPr>
          <w:rFonts w:ascii="Arial" w:hAnsi="Arial"/>
          <w:sz w:val="20"/>
          <w:szCs w:val="24"/>
        </w:rPr>
      </w:pPr>
    </w:p>
    <w:p w:rsidR="00DB41DC" w:rsidRPr="00C57632" w:rsidRDefault="00C57632" w:rsidP="00DB41DC">
      <w:pPr>
        <w:pStyle w:val="Textoindependiente"/>
        <w:numPr>
          <w:ilvl w:val="0"/>
          <w:numId w:val="1"/>
        </w:numPr>
        <w:spacing w:line="360" w:lineRule="auto"/>
        <w:rPr>
          <w:rFonts w:ascii="Arial" w:hAnsi="Arial"/>
          <w:smallCaps/>
          <w:szCs w:val="24"/>
        </w:rPr>
      </w:pPr>
      <w:r>
        <w:rPr>
          <w:rFonts w:ascii="Arial" w:hAnsi="Arial"/>
          <w:smallCaps/>
          <w:sz w:val="28"/>
          <w:szCs w:val="24"/>
        </w:rPr>
        <w:t>L</w:t>
      </w:r>
      <w:r w:rsidRPr="00C57632">
        <w:rPr>
          <w:rFonts w:ascii="Arial" w:hAnsi="Arial"/>
          <w:smallCaps/>
          <w:sz w:val="28"/>
          <w:szCs w:val="24"/>
        </w:rPr>
        <w:t>a síntesis de los supuestos fácticos relevantes</w:t>
      </w:r>
    </w:p>
    <w:p w:rsidR="00DB41DC" w:rsidRPr="00F009CB" w:rsidRDefault="00DB41DC" w:rsidP="00DB41DC">
      <w:pPr>
        <w:pStyle w:val="Textoindependiente"/>
        <w:spacing w:line="360" w:lineRule="auto"/>
        <w:rPr>
          <w:rFonts w:ascii="Arial" w:hAnsi="Arial" w:cs="Arial"/>
          <w:sz w:val="20"/>
          <w:szCs w:val="24"/>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la </w:t>
      </w:r>
      <w:r w:rsidR="00F009CB">
        <w:rPr>
          <w:rFonts w:ascii="Arial" w:hAnsi="Arial" w:cs="Arial"/>
        </w:rPr>
        <w:t>acción popular</w:t>
      </w:r>
      <w:r>
        <w:rPr>
          <w:rFonts w:ascii="Arial" w:hAnsi="Arial" w:cs="Arial"/>
        </w:rPr>
        <w:t xml:space="preserve"> No.</w:t>
      </w:r>
      <w:r w:rsidR="00F009CB">
        <w:rPr>
          <w:rFonts w:ascii="Arial" w:hAnsi="Arial" w:cs="Arial"/>
        </w:rPr>
        <w:t>2015-</w:t>
      </w:r>
      <w:r w:rsidR="007F3E77">
        <w:rPr>
          <w:rFonts w:ascii="Arial" w:hAnsi="Arial" w:cs="Arial"/>
        </w:rPr>
        <w:t>00397</w:t>
      </w:r>
      <w:r w:rsidR="00F009CB">
        <w:rPr>
          <w:rFonts w:ascii="Arial" w:hAnsi="Arial" w:cs="Arial"/>
        </w:rPr>
        <w:t xml:space="preserve">-00, </w:t>
      </w:r>
      <w:r w:rsidR="007F3E77">
        <w:rPr>
          <w:rFonts w:ascii="Arial" w:hAnsi="Arial" w:cs="Arial"/>
        </w:rPr>
        <w:t>solicitó informar a la comunidad por intermedio de la policía nacional, pero se negó su petición. Indicó que desatiende el artículo 5º de la Ley 472</w:t>
      </w:r>
      <w:r w:rsidR="00F009CB">
        <w:rPr>
          <w:rFonts w:ascii="Arial" w:hAnsi="Arial" w:cs="Arial"/>
        </w:rPr>
        <w:t xml:space="preserve"> (Folio</w:t>
      </w:r>
      <w:r>
        <w:rPr>
          <w:rFonts w:ascii="Arial" w:hAnsi="Arial" w:cs="Arial"/>
        </w:rPr>
        <w:t xml:space="preserve"> 1, de este cuaderno). </w:t>
      </w:r>
    </w:p>
    <w:p w:rsidR="00CD73B4" w:rsidRPr="00F009CB" w:rsidRDefault="00CD73B4" w:rsidP="00152300">
      <w:pPr>
        <w:spacing w:line="360" w:lineRule="auto"/>
        <w:jc w:val="both"/>
        <w:rPr>
          <w:rFonts w:ascii="Arial" w:hAnsi="Arial" w:cs="Arial"/>
          <w:sz w:val="20"/>
        </w:rPr>
      </w:pPr>
    </w:p>
    <w:p w:rsidR="0099045D" w:rsidRPr="00C57632" w:rsidRDefault="00C57632"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os derechos invocados</w:t>
      </w:r>
    </w:p>
    <w:p w:rsidR="00800EF6" w:rsidRPr="00F009C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CD73B4" w:rsidRPr="00F009CB" w:rsidRDefault="00CD73B4" w:rsidP="00CD73B4">
      <w:pPr>
        <w:pStyle w:val="Textoindependiente"/>
        <w:spacing w:line="360" w:lineRule="auto"/>
        <w:ind w:left="360"/>
        <w:rPr>
          <w:rFonts w:ascii="Arial" w:hAnsi="Arial"/>
          <w:sz w:val="20"/>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w:t>
      </w:r>
      <w:r w:rsidR="007F3E77">
        <w:rPr>
          <w:rFonts w:ascii="Arial" w:hAnsi="Arial" w:cs="Arial"/>
          <w:szCs w:val="24"/>
        </w:rPr>
        <w:t xml:space="preserve">informar a la comunidad </w:t>
      </w:r>
      <w:r w:rsidR="00F009CB">
        <w:rPr>
          <w:rFonts w:ascii="Arial" w:hAnsi="Arial" w:cs="Arial"/>
          <w:szCs w:val="24"/>
        </w:rPr>
        <w:t>por intermedio de la emisora de la Policía Nacional</w:t>
      </w:r>
      <w:r w:rsidR="00AD2BA8" w:rsidRPr="005C4C0F">
        <w:rPr>
          <w:rFonts w:ascii="Arial" w:hAnsi="Arial" w:cs="Arial"/>
          <w:szCs w:val="24"/>
        </w:rPr>
        <w:t>;</w:t>
      </w:r>
      <w:r w:rsidR="00F009CB">
        <w:rPr>
          <w:rFonts w:ascii="Arial" w:hAnsi="Arial" w:cs="Arial"/>
          <w:szCs w:val="24"/>
        </w:rPr>
        <w:t xml:space="preserve"> </w:t>
      </w:r>
      <w:r w:rsidR="00AD2BA8" w:rsidRPr="005C4C0F">
        <w:rPr>
          <w:rFonts w:ascii="Arial" w:hAnsi="Arial" w:cs="Arial"/>
          <w:szCs w:val="24"/>
        </w:rPr>
        <w:t>(</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FD0032" w:rsidRPr="004B019A">
        <w:rPr>
          <w:rFonts w:ascii="Arial" w:hAnsi="Arial" w:cs="Arial"/>
          <w:szCs w:val="24"/>
        </w:rPr>
        <w:t xml:space="preserve"> </w:t>
      </w:r>
      <w:r w:rsidR="00B1245A">
        <w:rPr>
          <w:rFonts w:ascii="Arial" w:hAnsi="Arial" w:cs="Arial"/>
          <w:szCs w:val="24"/>
        </w:rPr>
        <w:t>(Folio</w:t>
      </w:r>
      <w:r w:rsidR="00F009CB">
        <w:rPr>
          <w:rFonts w:ascii="Arial" w:hAnsi="Arial" w:cs="Arial"/>
          <w:szCs w:val="24"/>
        </w:rPr>
        <w:t xml:space="preserve"> </w:t>
      </w:r>
      <w:r w:rsidR="00B1245A">
        <w:rPr>
          <w:rFonts w:ascii="Arial" w:hAnsi="Arial" w:cs="Arial"/>
          <w:szCs w:val="24"/>
        </w:rPr>
        <w:t xml:space="preserve">1,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Pr="00F009CB" w:rsidRDefault="00CE71D8" w:rsidP="000145EA">
      <w:pPr>
        <w:pStyle w:val="Sinespaciado"/>
        <w:spacing w:line="360" w:lineRule="auto"/>
        <w:jc w:val="both"/>
        <w:rPr>
          <w:rFonts w:ascii="Arial" w:hAnsi="Arial" w:cs="Arial"/>
          <w:sz w:val="20"/>
          <w:szCs w:val="24"/>
        </w:rPr>
      </w:pPr>
    </w:p>
    <w:p w:rsidR="0099045D" w:rsidRPr="00C57632" w:rsidRDefault="00C57632" w:rsidP="00101AE0">
      <w:pPr>
        <w:pStyle w:val="Sinespaciado"/>
        <w:numPr>
          <w:ilvl w:val="0"/>
          <w:numId w:val="1"/>
        </w:numPr>
        <w:spacing w:line="360" w:lineRule="auto"/>
        <w:jc w:val="both"/>
        <w:rPr>
          <w:rFonts w:ascii="Arial" w:hAnsi="Arial"/>
          <w:smallCaps/>
          <w:sz w:val="28"/>
          <w:szCs w:val="24"/>
        </w:rPr>
      </w:pPr>
      <w:r>
        <w:rPr>
          <w:rFonts w:ascii="Arial" w:hAnsi="Arial"/>
          <w:smallCaps/>
          <w:sz w:val="28"/>
          <w:szCs w:val="24"/>
        </w:rPr>
        <w:t>L</w:t>
      </w:r>
      <w:r w:rsidRPr="00C57632">
        <w:rPr>
          <w:rFonts w:ascii="Arial" w:hAnsi="Arial"/>
          <w:smallCaps/>
          <w:sz w:val="28"/>
          <w:szCs w:val="24"/>
        </w:rPr>
        <w:t>a síntesis de la crónica procesal</w:t>
      </w:r>
    </w:p>
    <w:p w:rsidR="0035297D" w:rsidRPr="00F009CB" w:rsidRDefault="0035297D" w:rsidP="00704D44">
      <w:pPr>
        <w:pStyle w:val="Sinespaciado"/>
        <w:tabs>
          <w:tab w:val="left" w:pos="1200"/>
        </w:tabs>
        <w:spacing w:line="360" w:lineRule="auto"/>
        <w:jc w:val="both"/>
        <w:rPr>
          <w:rFonts w:ascii="Arial" w:hAnsi="Arial"/>
          <w:sz w:val="20"/>
          <w:szCs w:val="24"/>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día </w:t>
      </w:r>
      <w:r w:rsidR="007F3E77">
        <w:rPr>
          <w:rFonts w:ascii="Arial" w:hAnsi="Arial"/>
        </w:rPr>
        <w:t>25-10</w:t>
      </w:r>
      <w:r>
        <w:rPr>
          <w:rFonts w:ascii="Arial" w:hAnsi="Arial"/>
        </w:rPr>
        <w:t xml:space="preserve">-2016, </w:t>
      </w:r>
      <w:r w:rsidR="008E6CF4" w:rsidRPr="00B74361">
        <w:rPr>
          <w:rFonts w:ascii="Arial" w:hAnsi="Arial"/>
        </w:rPr>
        <w:t>con providencia</w:t>
      </w:r>
      <w:r w:rsidR="008E6CF4" w:rsidRPr="008E5A62">
        <w:rPr>
          <w:rFonts w:ascii="Arial" w:hAnsi="Arial"/>
        </w:rPr>
        <w:t xml:space="preserve"> de</w:t>
      </w:r>
      <w:r w:rsidR="008E6CF4">
        <w:rPr>
          <w:rFonts w:ascii="Arial" w:hAnsi="Arial"/>
        </w:rPr>
        <w:t>l día</w:t>
      </w:r>
      <w:r w:rsidR="007F3E77">
        <w:rPr>
          <w:rFonts w:ascii="Arial" w:hAnsi="Arial"/>
        </w:rPr>
        <w:t xml:space="preserve"> hábil siguiente</w:t>
      </w:r>
      <w:r w:rsidR="008E6CF4" w:rsidRPr="008E5A62">
        <w:rPr>
          <w:rFonts w:ascii="Arial" w:hAnsi="Arial"/>
        </w:rPr>
        <w:t xml:space="preserve">, se </w:t>
      </w:r>
      <w:r w:rsidR="00F009CB">
        <w:rPr>
          <w:rFonts w:ascii="Arial" w:hAnsi="Arial"/>
        </w:rPr>
        <w:t>admitió</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F009CB">
        <w:rPr>
          <w:rFonts w:ascii="Arial" w:hAnsi="Arial"/>
        </w:rPr>
        <w:t>4 y 5</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sidR="00F009CB">
        <w:rPr>
          <w:rFonts w:ascii="Arial" w:hAnsi="Arial"/>
        </w:rPr>
        <w:t xml:space="preserve">6 </w:t>
      </w:r>
      <w:r w:rsidR="007F3E77">
        <w:rPr>
          <w:rFonts w:ascii="Arial" w:hAnsi="Arial"/>
        </w:rPr>
        <w:t>a 8</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w:t>
      </w:r>
      <w:r>
        <w:rPr>
          <w:rFonts w:ascii="Arial" w:hAnsi="Arial"/>
        </w:rPr>
        <w:t xml:space="preserve">la </w:t>
      </w:r>
      <w:r w:rsidR="007F3E77">
        <w:rPr>
          <w:rFonts w:ascii="Arial" w:hAnsi="Arial"/>
        </w:rPr>
        <w:t>Alcaldía de Bogotá (Folio</w:t>
      </w:r>
      <w:r w:rsidR="00A2178F">
        <w:rPr>
          <w:rFonts w:ascii="Arial" w:hAnsi="Arial"/>
        </w:rPr>
        <w:t xml:space="preserve"> </w:t>
      </w:r>
      <w:r w:rsidR="00F009CB">
        <w:rPr>
          <w:rFonts w:ascii="Arial" w:hAnsi="Arial"/>
        </w:rPr>
        <w:t>17</w:t>
      </w:r>
      <w:r w:rsidR="00A2178F">
        <w:rPr>
          <w:rFonts w:ascii="Arial" w:hAnsi="Arial"/>
        </w:rPr>
        <w:t>, ib.),</w:t>
      </w:r>
      <w:r w:rsidR="008E6CF4">
        <w:rPr>
          <w:rFonts w:ascii="Arial" w:hAnsi="Arial"/>
        </w:rPr>
        <w:t xml:space="preserve"> </w:t>
      </w:r>
      <w:r w:rsidR="00F009CB">
        <w:rPr>
          <w:rFonts w:ascii="Arial" w:hAnsi="Arial"/>
        </w:rPr>
        <w:t>la</w:t>
      </w:r>
      <w:r w:rsidR="007F3E77">
        <w:rPr>
          <w:rFonts w:ascii="Arial" w:hAnsi="Arial"/>
        </w:rPr>
        <w:t>s</w:t>
      </w:r>
      <w:r w:rsidR="00F009CB">
        <w:rPr>
          <w:rFonts w:ascii="Arial" w:hAnsi="Arial"/>
        </w:rPr>
        <w:t xml:space="preserve"> </w:t>
      </w:r>
      <w:r w:rsidR="00F009CB" w:rsidRPr="003B7741">
        <w:rPr>
          <w:rFonts w:ascii="Arial" w:hAnsi="Arial" w:cs="Arial"/>
        </w:rPr>
        <w:t>Procuraduría</w:t>
      </w:r>
      <w:r w:rsidR="007F3E77">
        <w:rPr>
          <w:rFonts w:ascii="Arial" w:hAnsi="Arial" w:cs="Arial"/>
        </w:rPr>
        <w:t>s</w:t>
      </w:r>
      <w:r w:rsidR="00F009CB">
        <w:rPr>
          <w:rFonts w:ascii="Arial" w:hAnsi="Arial" w:cs="Arial"/>
        </w:rPr>
        <w:t>,</w:t>
      </w:r>
      <w:r w:rsidR="00F009CB" w:rsidRPr="003B7741">
        <w:rPr>
          <w:rFonts w:ascii="Arial" w:hAnsi="Arial" w:cs="Arial"/>
        </w:rPr>
        <w:t xml:space="preserve"> Regional</w:t>
      </w:r>
      <w:r w:rsidR="007F3E77">
        <w:rPr>
          <w:rFonts w:ascii="Arial" w:hAnsi="Arial" w:cs="Arial"/>
        </w:rPr>
        <w:t>es</w:t>
      </w:r>
      <w:r w:rsidR="00F009CB" w:rsidRPr="003B7741">
        <w:rPr>
          <w:rFonts w:ascii="Arial" w:hAnsi="Arial" w:cs="Arial"/>
        </w:rPr>
        <w:t xml:space="preserve"> </w:t>
      </w:r>
      <w:r w:rsidR="007F3E77">
        <w:rPr>
          <w:rFonts w:ascii="Arial" w:hAnsi="Arial" w:cs="Arial"/>
        </w:rPr>
        <w:t xml:space="preserve">de </w:t>
      </w:r>
      <w:r w:rsidR="00F009CB" w:rsidRPr="003B7741">
        <w:rPr>
          <w:rFonts w:ascii="Arial" w:hAnsi="Arial" w:cs="Arial"/>
        </w:rPr>
        <w:t>Risaralda</w:t>
      </w:r>
      <w:r w:rsidR="00F009CB">
        <w:rPr>
          <w:rFonts w:ascii="Arial" w:hAnsi="Arial" w:cs="Arial"/>
        </w:rPr>
        <w:t xml:space="preserve"> (Folio </w:t>
      </w:r>
      <w:r w:rsidR="007F3E77">
        <w:rPr>
          <w:rFonts w:ascii="Arial" w:hAnsi="Arial" w:cs="Arial"/>
        </w:rPr>
        <w:t>19</w:t>
      </w:r>
      <w:r w:rsidR="00F009CB">
        <w:rPr>
          <w:rFonts w:ascii="Arial" w:hAnsi="Arial" w:cs="Arial"/>
        </w:rPr>
        <w:t xml:space="preserve">, </w:t>
      </w:r>
      <w:r w:rsidR="00C57632">
        <w:rPr>
          <w:rFonts w:ascii="Arial" w:hAnsi="Arial" w:cs="Arial"/>
        </w:rPr>
        <w:t>ib.</w:t>
      </w:r>
      <w:r w:rsidR="00F009CB">
        <w:rPr>
          <w:rFonts w:ascii="Arial" w:hAnsi="Arial" w:cs="Arial"/>
        </w:rPr>
        <w:t>)</w:t>
      </w:r>
      <w:r w:rsidR="007F3E77">
        <w:rPr>
          <w:rFonts w:ascii="Arial" w:hAnsi="Arial" w:cs="Arial"/>
        </w:rPr>
        <w:t xml:space="preserve"> y de </w:t>
      </w:r>
      <w:r w:rsidR="000D54B5">
        <w:rPr>
          <w:rFonts w:ascii="Arial" w:hAnsi="Arial" w:cs="Arial"/>
        </w:rPr>
        <w:t>Cundinamarca</w:t>
      </w:r>
      <w:r w:rsidR="007F3E77">
        <w:rPr>
          <w:rFonts w:ascii="Arial" w:hAnsi="Arial" w:cs="Arial"/>
        </w:rPr>
        <w:t xml:space="preserve"> (Folios 23 </w:t>
      </w:r>
      <w:r w:rsidR="00947FE4">
        <w:rPr>
          <w:rFonts w:ascii="Arial" w:hAnsi="Arial" w:cs="Arial"/>
        </w:rPr>
        <w:t>y 24, ib.)</w:t>
      </w:r>
      <w:r w:rsidR="008E6CF4" w:rsidRPr="003B6DD2">
        <w:rPr>
          <w:rFonts w:ascii="Arial" w:hAnsi="Arial"/>
        </w:rPr>
        <w:t>.</w:t>
      </w:r>
      <w:r>
        <w:rPr>
          <w:rFonts w:ascii="Arial" w:hAnsi="Arial"/>
        </w:rPr>
        <w:t xml:space="preserve"> El accionado arrimó las copias requeridas (Folios </w:t>
      </w:r>
      <w:r w:rsidR="00947FE4">
        <w:rPr>
          <w:rFonts w:ascii="Arial" w:hAnsi="Arial"/>
        </w:rPr>
        <w:t>9 a 16</w:t>
      </w:r>
      <w:r w:rsidR="00C57632">
        <w:rPr>
          <w:rFonts w:ascii="Arial" w:hAnsi="Arial"/>
        </w:rPr>
        <w:t>, ib.).</w:t>
      </w:r>
    </w:p>
    <w:p w:rsidR="00687FAC" w:rsidRPr="00C57632" w:rsidRDefault="00687FAC" w:rsidP="00687FAC">
      <w:pPr>
        <w:pStyle w:val="Sinespaciado"/>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F4450" w:rsidRPr="00C57632" w:rsidRDefault="006F4450" w:rsidP="006F4450">
      <w:pPr>
        <w:spacing w:line="360" w:lineRule="auto"/>
        <w:jc w:val="both"/>
        <w:rPr>
          <w:rFonts w:ascii="Arial" w:hAnsi="Arial"/>
          <w:sz w:val="20"/>
        </w:rPr>
      </w:pPr>
    </w:p>
    <w:p w:rsidR="00EE2E34" w:rsidRPr="00C57632" w:rsidRDefault="00EE2E34" w:rsidP="00EE2E34">
      <w:pPr>
        <w:pStyle w:val="Prrafodelista"/>
        <w:numPr>
          <w:ilvl w:val="1"/>
          <w:numId w:val="18"/>
        </w:numPr>
        <w:spacing w:line="360" w:lineRule="auto"/>
        <w:jc w:val="both"/>
        <w:rPr>
          <w:rFonts w:ascii="Arial" w:hAnsi="Arial"/>
          <w:smallCaps/>
          <w:sz w:val="26"/>
          <w:szCs w:val="26"/>
        </w:rPr>
      </w:pPr>
      <w:r w:rsidRPr="00C57632">
        <w:rPr>
          <w:rFonts w:ascii="Arial" w:hAnsi="Arial"/>
          <w:smallCaps/>
          <w:sz w:val="26"/>
          <w:szCs w:val="26"/>
        </w:rPr>
        <w:t xml:space="preserve">La Alcaldía de </w:t>
      </w:r>
      <w:r w:rsidR="00947FE4">
        <w:rPr>
          <w:rFonts w:ascii="Arial" w:hAnsi="Arial"/>
          <w:smallCaps/>
          <w:sz w:val="26"/>
          <w:szCs w:val="26"/>
        </w:rPr>
        <w:t>Bogotá</w:t>
      </w:r>
    </w:p>
    <w:p w:rsidR="00EE2E34" w:rsidRDefault="00DB562D" w:rsidP="00DB562D">
      <w:pPr>
        <w:spacing w:line="360" w:lineRule="auto"/>
        <w:jc w:val="both"/>
        <w:rPr>
          <w:rFonts w:ascii="Arial" w:hAnsi="Arial"/>
        </w:rPr>
      </w:pPr>
      <w:r>
        <w:rPr>
          <w:rFonts w:ascii="Arial" w:hAnsi="Arial"/>
        </w:rPr>
        <w:lastRenderedPageBreak/>
        <w:t>Consideró que no está legitimada en el extremo pasivo de esta acción,</w:t>
      </w:r>
      <w:r w:rsidRPr="00FF4929">
        <w:rPr>
          <w:rFonts w:ascii="Arial" w:hAnsi="Arial"/>
        </w:rPr>
        <w:t xml:space="preserve"> porque </w:t>
      </w:r>
      <w:r w:rsidR="00947FE4">
        <w:rPr>
          <w:rFonts w:ascii="Arial" w:hAnsi="Arial"/>
        </w:rPr>
        <w:t>los hechos alegados como vulneradores de los derechos fundamentales, no guardan relación con alguna acción u omisión suya</w:t>
      </w:r>
      <w:r>
        <w:rPr>
          <w:rFonts w:ascii="Arial" w:hAnsi="Arial"/>
        </w:rPr>
        <w:t xml:space="preserve">; y, en esas condiciones </w:t>
      </w:r>
      <w:r w:rsidR="00947FE4">
        <w:rPr>
          <w:rFonts w:ascii="Arial" w:hAnsi="Arial"/>
        </w:rPr>
        <w:t>declarar improcedente el amparo en su contra</w:t>
      </w:r>
      <w:r>
        <w:rPr>
          <w:rFonts w:ascii="Arial" w:hAnsi="Arial"/>
        </w:rPr>
        <w:t xml:space="preserve"> </w:t>
      </w:r>
      <w:r w:rsidR="00947FE4">
        <w:rPr>
          <w:rFonts w:ascii="Arial" w:hAnsi="Arial"/>
        </w:rPr>
        <w:t>(Folio</w:t>
      </w:r>
      <w:r w:rsidR="00C57632">
        <w:rPr>
          <w:rFonts w:ascii="Arial" w:hAnsi="Arial"/>
        </w:rPr>
        <w:t xml:space="preserve"> </w:t>
      </w:r>
      <w:r w:rsidR="00947FE4">
        <w:rPr>
          <w:rFonts w:ascii="Arial" w:hAnsi="Arial"/>
        </w:rPr>
        <w:t>17</w:t>
      </w:r>
      <w:r w:rsidR="00EE2E34">
        <w:rPr>
          <w:rFonts w:ascii="Arial" w:hAnsi="Arial"/>
        </w:rPr>
        <w:t>, ib.)</w:t>
      </w:r>
      <w:r w:rsidR="00A538AF">
        <w:rPr>
          <w:rFonts w:ascii="Arial" w:hAnsi="Arial"/>
        </w:rPr>
        <w:t>.</w:t>
      </w:r>
    </w:p>
    <w:p w:rsidR="00EE2E34" w:rsidRPr="00C57632" w:rsidRDefault="00EE2E34" w:rsidP="006F4450">
      <w:pPr>
        <w:spacing w:line="360" w:lineRule="auto"/>
        <w:jc w:val="both"/>
        <w:rPr>
          <w:rFonts w:ascii="Arial" w:hAnsi="Arial"/>
          <w:sz w:val="20"/>
        </w:rPr>
      </w:pPr>
    </w:p>
    <w:p w:rsidR="00C57632" w:rsidRPr="00947FE4" w:rsidRDefault="00C57632" w:rsidP="00947FE4">
      <w:pPr>
        <w:pStyle w:val="Prrafodelista"/>
        <w:numPr>
          <w:ilvl w:val="1"/>
          <w:numId w:val="18"/>
        </w:numPr>
        <w:spacing w:line="360" w:lineRule="auto"/>
        <w:jc w:val="both"/>
        <w:rPr>
          <w:rFonts w:ascii="Arial" w:hAnsi="Arial"/>
          <w:smallCaps/>
          <w:sz w:val="26"/>
          <w:szCs w:val="26"/>
        </w:rPr>
      </w:pPr>
      <w:r w:rsidRPr="00947FE4">
        <w:rPr>
          <w:rFonts w:ascii="Arial" w:hAnsi="Arial"/>
          <w:smallCaps/>
          <w:sz w:val="26"/>
          <w:szCs w:val="26"/>
        </w:rPr>
        <w:t xml:space="preserve">La </w:t>
      </w:r>
      <w:r w:rsidRPr="00947FE4">
        <w:rPr>
          <w:rFonts w:ascii="Arial" w:hAnsi="Arial" w:cs="Arial"/>
          <w:smallCaps/>
          <w:sz w:val="26"/>
          <w:szCs w:val="26"/>
        </w:rPr>
        <w:t>Procuraduría General de la Nación, Regional Risaralda</w:t>
      </w:r>
    </w:p>
    <w:p w:rsidR="00C57632" w:rsidRPr="00C57632" w:rsidRDefault="00C57632" w:rsidP="00C57632">
      <w:pPr>
        <w:spacing w:line="360" w:lineRule="auto"/>
        <w:jc w:val="both"/>
        <w:rPr>
          <w:rFonts w:ascii="Arial" w:hAnsi="Arial"/>
          <w:sz w:val="20"/>
        </w:rPr>
      </w:pPr>
    </w:p>
    <w:p w:rsidR="00C57632" w:rsidRDefault="00C57632" w:rsidP="00C57632">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 xml:space="preserve">(Folio </w:t>
      </w:r>
      <w:r w:rsidR="00947FE4">
        <w:rPr>
          <w:rFonts w:ascii="Arial" w:hAnsi="Arial" w:cs="Arial"/>
          <w:spacing w:val="3"/>
        </w:rPr>
        <w:t>19</w:t>
      </w:r>
      <w:r>
        <w:rPr>
          <w:rFonts w:ascii="Arial" w:hAnsi="Arial" w:cs="Arial"/>
          <w:spacing w:val="3"/>
        </w:rPr>
        <w:t>, ib.)</w:t>
      </w:r>
      <w:r>
        <w:rPr>
          <w:rFonts w:ascii="Arial" w:hAnsi="Arial"/>
        </w:rPr>
        <w:t xml:space="preserve">. </w:t>
      </w:r>
    </w:p>
    <w:p w:rsidR="00E04790" w:rsidRDefault="00E04790" w:rsidP="00264032">
      <w:pPr>
        <w:spacing w:line="360" w:lineRule="auto"/>
        <w:jc w:val="both"/>
        <w:rPr>
          <w:rFonts w:ascii="Arial" w:hAnsi="Arial"/>
          <w:sz w:val="20"/>
        </w:rPr>
      </w:pPr>
    </w:p>
    <w:p w:rsidR="00947FE4" w:rsidRPr="00C57632" w:rsidRDefault="00947FE4" w:rsidP="00947FE4">
      <w:pPr>
        <w:pStyle w:val="Prrafodelista"/>
        <w:numPr>
          <w:ilvl w:val="1"/>
          <w:numId w:val="25"/>
        </w:numPr>
        <w:spacing w:line="360" w:lineRule="auto"/>
        <w:jc w:val="both"/>
        <w:rPr>
          <w:rFonts w:ascii="Arial" w:hAnsi="Arial"/>
          <w:smallCaps/>
          <w:sz w:val="26"/>
          <w:szCs w:val="26"/>
        </w:rPr>
      </w:pPr>
      <w:r w:rsidRPr="00C57632">
        <w:rPr>
          <w:rFonts w:ascii="Arial" w:hAnsi="Arial"/>
          <w:smallCaps/>
          <w:sz w:val="26"/>
          <w:szCs w:val="26"/>
        </w:rPr>
        <w:t xml:space="preserve">La </w:t>
      </w:r>
      <w:r w:rsidRPr="00C57632">
        <w:rPr>
          <w:rFonts w:ascii="Arial" w:hAnsi="Arial" w:cs="Arial"/>
          <w:smallCaps/>
          <w:sz w:val="26"/>
          <w:szCs w:val="26"/>
        </w:rPr>
        <w:t xml:space="preserve">Procuraduría General de la Nación, Regional </w:t>
      </w:r>
      <w:r w:rsidR="000D54B5">
        <w:rPr>
          <w:rFonts w:ascii="Arial" w:hAnsi="Arial" w:cs="Arial"/>
          <w:smallCaps/>
          <w:sz w:val="26"/>
          <w:szCs w:val="26"/>
        </w:rPr>
        <w:t>Cundinamarca</w:t>
      </w:r>
      <w:r>
        <w:rPr>
          <w:rFonts w:ascii="Arial" w:hAnsi="Arial" w:cs="Arial"/>
          <w:smallCaps/>
          <w:sz w:val="26"/>
          <w:szCs w:val="26"/>
        </w:rPr>
        <w:t xml:space="preserve"> </w:t>
      </w:r>
    </w:p>
    <w:p w:rsidR="00947FE4" w:rsidRPr="00C57632" w:rsidRDefault="00947FE4" w:rsidP="00947FE4">
      <w:pPr>
        <w:spacing w:line="360" w:lineRule="auto"/>
        <w:jc w:val="both"/>
        <w:rPr>
          <w:rFonts w:ascii="Arial" w:hAnsi="Arial"/>
          <w:sz w:val="20"/>
        </w:rPr>
      </w:pPr>
    </w:p>
    <w:p w:rsidR="00947FE4" w:rsidRDefault="00947FE4" w:rsidP="00947FE4">
      <w:pPr>
        <w:spacing w:line="360" w:lineRule="auto"/>
        <w:jc w:val="both"/>
        <w:rPr>
          <w:rFonts w:ascii="Arial" w:hAnsi="Arial"/>
        </w:rPr>
      </w:pPr>
      <w:r>
        <w:rPr>
          <w:rFonts w:ascii="Arial" w:hAnsi="Arial"/>
        </w:rPr>
        <w:t xml:space="preserve">Solicitó conceder el amparo constitucional, </w:t>
      </w:r>
      <w:r w:rsidR="00922394">
        <w:rPr>
          <w:rFonts w:ascii="Arial" w:hAnsi="Arial"/>
        </w:rPr>
        <w:t xml:space="preserve">porque en el juzgado accionado recae la carga oficiosa de notificar al demandado y comunicar a la comunidad la existencia de la acción popular, conforme lo preceptúa el artículo 21 de </w:t>
      </w:r>
      <w:r>
        <w:rPr>
          <w:rFonts w:ascii="Arial" w:hAnsi="Arial"/>
        </w:rPr>
        <w:t>Ley 472</w:t>
      </w:r>
      <w:r w:rsidR="00922394">
        <w:rPr>
          <w:rFonts w:ascii="Arial" w:hAnsi="Arial"/>
        </w:rPr>
        <w:t xml:space="preserve">, en consonancia con el principio de publicidad e impulso oficioso que gobiernan ese asunto </w:t>
      </w:r>
      <w:r>
        <w:rPr>
          <w:rFonts w:ascii="Arial" w:hAnsi="Arial" w:cs="Arial"/>
          <w:spacing w:val="3"/>
        </w:rPr>
        <w:t xml:space="preserve">(Folio </w:t>
      </w:r>
      <w:r w:rsidR="00922394">
        <w:rPr>
          <w:rFonts w:ascii="Arial" w:hAnsi="Arial" w:cs="Arial"/>
          <w:spacing w:val="3"/>
        </w:rPr>
        <w:t>23 y 24</w:t>
      </w:r>
      <w:r>
        <w:rPr>
          <w:rFonts w:ascii="Arial" w:hAnsi="Arial" w:cs="Arial"/>
          <w:spacing w:val="3"/>
        </w:rPr>
        <w:t>, ib.)</w:t>
      </w:r>
      <w:r>
        <w:rPr>
          <w:rFonts w:ascii="Arial" w:hAnsi="Arial"/>
        </w:rPr>
        <w:t xml:space="preserve">. </w:t>
      </w:r>
    </w:p>
    <w:p w:rsidR="00947FE4" w:rsidRPr="00C57632" w:rsidRDefault="00947FE4" w:rsidP="00264032">
      <w:pPr>
        <w:spacing w:line="360" w:lineRule="auto"/>
        <w:jc w:val="both"/>
        <w:rPr>
          <w:rFonts w:ascii="Arial" w:hAnsi="Arial"/>
          <w:sz w:val="20"/>
        </w:rPr>
      </w:pPr>
    </w:p>
    <w:p w:rsidR="00CF429F" w:rsidRPr="00C57632" w:rsidRDefault="00C57632" w:rsidP="00CF429F">
      <w:pPr>
        <w:pStyle w:val="Textoindependiente"/>
        <w:numPr>
          <w:ilvl w:val="0"/>
          <w:numId w:val="18"/>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fundamentación jurídica para decidir</w:t>
      </w:r>
    </w:p>
    <w:p w:rsidR="005A09B7" w:rsidRPr="00C57632" w:rsidRDefault="005A09B7" w:rsidP="005A09B7">
      <w:pPr>
        <w:pStyle w:val="Textoindependiente"/>
        <w:spacing w:line="360" w:lineRule="auto"/>
        <w:ind w:left="400"/>
        <w:rPr>
          <w:rFonts w:ascii="Arial" w:hAnsi="Arial"/>
          <w:sz w:val="20"/>
          <w:szCs w:val="24"/>
        </w:rPr>
      </w:pPr>
    </w:p>
    <w:p w:rsidR="00CF429F" w:rsidRPr="00C57632" w:rsidRDefault="00CF429F" w:rsidP="00CF429F">
      <w:pPr>
        <w:pStyle w:val="Textoindependien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A50109" w:rsidRPr="00C57632" w:rsidRDefault="00A50109" w:rsidP="00A50109">
      <w:pPr>
        <w:pStyle w:val="Textoindependiente"/>
        <w:tabs>
          <w:tab w:val="clear" w:pos="708"/>
          <w:tab w:val="left" w:pos="709"/>
        </w:tabs>
        <w:spacing w:line="360" w:lineRule="auto"/>
        <w:ind w:left="720"/>
        <w:rPr>
          <w:rFonts w:ascii="Arial" w:hAnsi="Arial"/>
          <w:sz w:val="20"/>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C57632">
        <w:rPr>
          <w:rFonts w:ascii="Arial" w:hAnsi="Arial" w:cs="Arial"/>
          <w:sz w:val="24"/>
          <w:szCs w:val="24"/>
        </w:rPr>
        <w:t>Tercero</w:t>
      </w:r>
      <w:r w:rsidR="00A538AF">
        <w:rPr>
          <w:rFonts w:ascii="Arial" w:hAnsi="Arial" w:cs="Arial"/>
          <w:sz w:val="24"/>
          <w:szCs w:val="24"/>
        </w:rPr>
        <w:t xml:space="preserve">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Pr="00C57632" w:rsidRDefault="00D8627D" w:rsidP="00CF429F">
      <w:pPr>
        <w:pStyle w:val="Sangra2detindependiente"/>
        <w:spacing w:after="0" w:line="360" w:lineRule="auto"/>
        <w:ind w:left="0"/>
        <w:jc w:val="both"/>
        <w:rPr>
          <w:rFonts w:ascii="Arial" w:hAnsi="Arial" w:cs="Arial"/>
          <w:szCs w:val="24"/>
        </w:rPr>
      </w:pPr>
    </w:p>
    <w:p w:rsidR="00CF429F" w:rsidRPr="00C57632" w:rsidRDefault="00CF429F" w:rsidP="00CF429F">
      <w:pPr>
        <w:pStyle w:val="Textoindependiente"/>
        <w:numPr>
          <w:ilvl w:val="1"/>
          <w:numId w:val="18"/>
        </w:numPr>
        <w:spacing w:line="360" w:lineRule="auto"/>
        <w:rPr>
          <w:rFonts w:ascii="Arial" w:hAnsi="Arial"/>
          <w:smallCaps/>
          <w:sz w:val="26"/>
          <w:szCs w:val="26"/>
        </w:rPr>
      </w:pPr>
      <w:r w:rsidRPr="00C57632">
        <w:rPr>
          <w:rFonts w:ascii="Arial" w:hAnsi="Arial"/>
          <w:smallCaps/>
          <w:sz w:val="26"/>
          <w:szCs w:val="26"/>
        </w:rPr>
        <w:t>El problema jurídico a resolver</w:t>
      </w:r>
    </w:p>
    <w:p w:rsidR="00984EE4" w:rsidRPr="00C57632"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F64B96">
        <w:rPr>
          <w:rFonts w:ascii="Arial" w:hAnsi="Arial" w:cs="Arial"/>
        </w:rPr>
        <w:t>Tercero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C072A0">
        <w:rPr>
          <w:rFonts w:ascii="Arial" w:hAnsi="Arial" w:cs="Arial"/>
          <w:spacing w:val="-3"/>
          <w:lang w:val="es-ES_tradnl"/>
        </w:rPr>
        <w:t xml:space="preserve"> </w:t>
      </w:r>
      <w:r w:rsidR="00A538AF">
        <w:rPr>
          <w:rFonts w:ascii="Arial" w:hAnsi="Arial" w:cs="Arial"/>
          <w:spacing w:val="-3"/>
          <w:lang w:val="es-ES_tradnl"/>
        </w:rPr>
        <w:t>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Pr="00C57632" w:rsidRDefault="00C57632" w:rsidP="00C57632">
      <w:pPr>
        <w:pStyle w:val="Textoindependien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C57632" w:rsidRPr="00C57632" w:rsidRDefault="00C57632" w:rsidP="00C57632">
      <w:pPr>
        <w:pStyle w:val="Textoindependiente"/>
        <w:tabs>
          <w:tab w:val="clear" w:pos="708"/>
          <w:tab w:val="clear" w:pos="1416"/>
          <w:tab w:val="left" w:pos="709"/>
          <w:tab w:val="left" w:pos="1418"/>
        </w:tabs>
        <w:spacing w:line="360" w:lineRule="auto"/>
        <w:ind w:left="720"/>
        <w:rPr>
          <w:rFonts w:ascii="Arial" w:hAnsi="Arial"/>
          <w:sz w:val="20"/>
          <w:szCs w:val="24"/>
        </w:rPr>
      </w:pPr>
    </w:p>
    <w:p w:rsidR="00C57632" w:rsidRPr="00C57632" w:rsidRDefault="00C57632" w:rsidP="00C57632">
      <w:pPr>
        <w:pStyle w:val="Textoindependiente"/>
        <w:numPr>
          <w:ilvl w:val="2"/>
          <w:numId w:val="18"/>
        </w:numPr>
        <w:tabs>
          <w:tab w:val="clear" w:pos="708"/>
          <w:tab w:val="clear" w:pos="1416"/>
          <w:tab w:val="left" w:pos="709"/>
          <w:tab w:val="left" w:pos="1418"/>
        </w:tabs>
        <w:spacing w:line="360" w:lineRule="auto"/>
        <w:rPr>
          <w:rFonts w:ascii="Arial" w:hAnsi="Arial"/>
          <w:smallCaps/>
          <w:szCs w:val="24"/>
        </w:rPr>
      </w:pPr>
      <w:r w:rsidRPr="00C57632">
        <w:rPr>
          <w:rFonts w:ascii="Arial" w:hAnsi="Arial"/>
          <w:smallCaps/>
          <w:szCs w:val="24"/>
        </w:rPr>
        <w:t>Los presupuestos generales de procedencia</w:t>
      </w:r>
    </w:p>
    <w:p w:rsidR="00C57632" w:rsidRDefault="00C57632" w:rsidP="00C57632">
      <w:pPr>
        <w:pStyle w:val="Sinespaciado"/>
        <w:spacing w:line="360" w:lineRule="auto"/>
        <w:jc w:val="both"/>
        <w:rPr>
          <w:rFonts w:ascii="Arial" w:hAnsi="Arial" w:cs="Arial"/>
          <w:sz w:val="20"/>
        </w:rPr>
      </w:pPr>
    </w:p>
    <w:p w:rsidR="00A538AF" w:rsidRDefault="00C57632" w:rsidP="00C57632">
      <w:pPr>
        <w:pStyle w:val="Textoindependiente"/>
        <w:numPr>
          <w:ilvl w:val="3"/>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C57632" w:rsidRPr="00C57632" w:rsidRDefault="00C57632" w:rsidP="00C57632">
      <w:pPr>
        <w:pStyle w:val="Textoindependiente"/>
        <w:tabs>
          <w:tab w:val="clear" w:pos="0"/>
          <w:tab w:val="clear" w:pos="708"/>
          <w:tab w:val="clear" w:pos="1416"/>
          <w:tab w:val="left" w:pos="567"/>
        </w:tabs>
        <w:spacing w:line="360" w:lineRule="auto"/>
        <w:ind w:left="1080"/>
        <w:rPr>
          <w:rFonts w:ascii="Arial" w:hAnsi="Arial" w:cs="Arial"/>
          <w:sz w:val="20"/>
          <w:szCs w:val="24"/>
        </w:rPr>
      </w:pPr>
    </w:p>
    <w:p w:rsidR="00A538AF" w:rsidRPr="00765006" w:rsidRDefault="00A538AF" w:rsidP="00A538AF">
      <w:pPr>
        <w:pStyle w:val="Textoindependiente"/>
        <w:spacing w:line="360" w:lineRule="auto"/>
        <w:rPr>
          <w:rFonts w:ascii="Arial" w:hAnsi="Arial" w:cs="Arial"/>
          <w:szCs w:val="24"/>
        </w:rPr>
      </w:pPr>
      <w:r w:rsidRPr="00765006">
        <w:rPr>
          <w:rFonts w:ascii="Arial" w:hAnsi="Arial" w:cs="Arial"/>
          <w:szCs w:val="24"/>
        </w:rPr>
        <w:t xml:space="preserve">Se cumple la legitimación por activa dado que el actor </w:t>
      </w:r>
      <w:r w:rsidR="00C57632">
        <w:rPr>
          <w:rFonts w:ascii="Arial" w:hAnsi="Arial" w:cs="Arial"/>
          <w:szCs w:val="24"/>
        </w:rPr>
        <w:t xml:space="preserve">es </w:t>
      </w:r>
      <w:r w:rsidR="00394495">
        <w:rPr>
          <w:rFonts w:ascii="Arial" w:hAnsi="Arial" w:cs="Arial"/>
          <w:szCs w:val="24"/>
        </w:rPr>
        <w:t xml:space="preserve">demandante en la acción popular </w:t>
      </w:r>
      <w:r w:rsidRPr="00765006">
        <w:rPr>
          <w:rFonts w:ascii="Arial" w:hAnsi="Arial" w:cs="Arial"/>
          <w:szCs w:val="24"/>
        </w:rPr>
        <w:t xml:space="preserve">en </w:t>
      </w:r>
      <w:r w:rsidR="00394495">
        <w:rPr>
          <w:rFonts w:ascii="Arial" w:hAnsi="Arial" w:cs="Arial"/>
          <w:szCs w:val="24"/>
        </w:rPr>
        <w:t xml:space="preserve">la </w:t>
      </w:r>
      <w:r w:rsidRPr="00765006">
        <w:rPr>
          <w:rFonts w:ascii="Arial" w:hAnsi="Arial" w:cs="Arial"/>
          <w:szCs w:val="24"/>
        </w:rPr>
        <w:t>que se reprocha la falta al debido proceso (</w:t>
      </w:r>
      <w:r w:rsidR="00765006" w:rsidRPr="00765006">
        <w:rPr>
          <w:rFonts w:ascii="Arial" w:hAnsi="Arial" w:cs="Arial"/>
          <w:szCs w:val="24"/>
        </w:rPr>
        <w:t xml:space="preserve">Artículo 24, Ley 472 en </w:t>
      </w:r>
      <w:r w:rsidR="00765006" w:rsidRPr="00765006">
        <w:rPr>
          <w:rFonts w:ascii="Arial" w:hAnsi="Arial" w:cs="Arial"/>
          <w:szCs w:val="24"/>
        </w:rPr>
        <w:lastRenderedPageBreak/>
        <w:t xml:space="preserve">consonancia con el </w:t>
      </w:r>
      <w:r w:rsidR="00765006" w:rsidRPr="00765006">
        <w:rPr>
          <w:rFonts w:ascii="Arial" w:hAnsi="Arial" w:cs="Arial"/>
          <w:color w:val="000000"/>
          <w:szCs w:val="27"/>
          <w:shd w:val="clear" w:color="auto" w:fill="FFFFFF"/>
        </w:rPr>
        <w:t>artículo 71 del CGP)</w:t>
      </w:r>
      <w:r w:rsidRPr="00765006">
        <w:rPr>
          <w:rFonts w:ascii="Arial" w:hAnsi="Arial" w:cs="Arial"/>
          <w:szCs w:val="24"/>
        </w:rPr>
        <w:t xml:space="preserve">. Y por pasiva, lo es el Juzgado </w:t>
      </w:r>
      <w:r w:rsidR="00C57632">
        <w:rPr>
          <w:rFonts w:ascii="Arial" w:hAnsi="Arial" w:cs="Arial"/>
          <w:szCs w:val="24"/>
        </w:rPr>
        <w:t>Tercero</w:t>
      </w:r>
      <w:r w:rsidRPr="00765006">
        <w:rPr>
          <w:rFonts w:ascii="Arial" w:hAnsi="Arial" w:cs="Arial"/>
          <w:szCs w:val="24"/>
        </w:rPr>
        <w:t xml:space="preserve"> Civil del Circuito de Pereira, al ser la autoridad judicial que conoce de</w:t>
      </w:r>
      <w:r w:rsidR="001E5C81">
        <w:rPr>
          <w:rFonts w:ascii="Arial" w:hAnsi="Arial" w:cs="Arial"/>
          <w:szCs w:val="24"/>
        </w:rPr>
        <w:t>l</w:t>
      </w:r>
      <w:r w:rsidRPr="00765006">
        <w:rPr>
          <w:rFonts w:ascii="Arial" w:hAnsi="Arial" w:cs="Arial"/>
          <w:szCs w:val="24"/>
        </w:rPr>
        <w:t xml:space="preserve"> </w:t>
      </w:r>
      <w:r w:rsidR="001E5C81">
        <w:rPr>
          <w:rFonts w:ascii="Arial" w:hAnsi="Arial" w:cs="Arial"/>
          <w:szCs w:val="24"/>
        </w:rPr>
        <w:t>juicio</w:t>
      </w:r>
      <w:r w:rsidRPr="00765006">
        <w:rPr>
          <w:rFonts w:ascii="Arial" w:hAnsi="Arial" w:cs="Arial"/>
          <w:szCs w:val="24"/>
        </w:rPr>
        <w:t>.</w:t>
      </w:r>
    </w:p>
    <w:p w:rsidR="00A538AF" w:rsidRPr="00C57632" w:rsidRDefault="00A538AF" w:rsidP="00A538AF">
      <w:pPr>
        <w:pStyle w:val="Textoindependiente"/>
        <w:spacing w:line="360" w:lineRule="auto"/>
        <w:rPr>
          <w:rFonts w:ascii="Arial" w:hAnsi="Arial" w:cs="Arial"/>
          <w:sz w:val="20"/>
          <w:szCs w:val="24"/>
          <w:highlight w:val="yellow"/>
        </w:rPr>
      </w:pPr>
    </w:p>
    <w:p w:rsidR="00A538AF" w:rsidRDefault="00A538AF" w:rsidP="00A538AF">
      <w:pPr>
        <w:widowControl/>
        <w:spacing w:line="360" w:lineRule="auto"/>
        <w:jc w:val="both"/>
        <w:rPr>
          <w:rFonts w:ascii="Arial" w:hAnsi="Arial" w:cs="Arial"/>
        </w:rPr>
      </w:pPr>
      <w:r w:rsidRPr="00765006">
        <w:rPr>
          <w:rFonts w:ascii="Arial" w:hAnsi="Arial" w:cs="Arial"/>
        </w:rPr>
        <w:t>Como los litisconsortes vinculados a este trámite, eventuales afectados con la acción constitucional, no incurrieron en violación o amenaza alguna, se negará la tutela frente a ellos.</w:t>
      </w:r>
    </w:p>
    <w:p w:rsidR="00A538AF" w:rsidRPr="00C57632" w:rsidRDefault="00A538AF"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F5B57" w:rsidRDefault="00FF5B57" w:rsidP="00C57632">
      <w:pPr>
        <w:pStyle w:val="Textoindependiente"/>
        <w:numPr>
          <w:ilvl w:val="3"/>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6B4D62" w:rsidRPr="00C5763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C57632" w:rsidRDefault="00C57632" w:rsidP="00CD3E18">
      <w:pPr>
        <w:pStyle w:val="Textoindependiente"/>
        <w:spacing w:line="360" w:lineRule="auto"/>
        <w:rPr>
          <w:rFonts w:ascii="Arial" w:hAnsi="Arial" w:cs="Arial"/>
          <w:szCs w:val="24"/>
        </w:rPr>
      </w:pPr>
    </w:p>
    <w:p w:rsidR="00CD3E18" w:rsidRPr="006A3AB9" w:rsidRDefault="00CD3E18" w:rsidP="00CD3E18">
      <w:pPr>
        <w:pStyle w:val="Textoindependiente"/>
        <w:spacing w:line="360" w:lineRule="auto"/>
        <w:rPr>
          <w:rFonts w:ascii="Arial" w:hAnsi="Arial" w:cs="Arial"/>
          <w:szCs w:val="24"/>
        </w:rPr>
      </w:pPr>
      <w:r w:rsidRPr="006A3AB9">
        <w:rPr>
          <w:rFonts w:ascii="Arial" w:hAnsi="Arial" w:cs="Arial"/>
          <w:szCs w:val="24"/>
        </w:rPr>
        <w:t xml:space="preserve">Ahora, </w:t>
      </w:r>
      <w:r w:rsidR="00C57632">
        <w:rPr>
          <w:rFonts w:ascii="Arial" w:hAnsi="Arial" w:cs="Arial"/>
          <w:szCs w:val="24"/>
        </w:rPr>
        <w:t xml:space="preserve"> </w:t>
      </w:r>
      <w:r w:rsidRPr="006A3AB9">
        <w:rPr>
          <w:rFonts w:ascii="Arial" w:hAnsi="Arial" w:cs="Arial"/>
          <w:szCs w:val="24"/>
        </w:rPr>
        <w:t xml:space="preserve">en </w:t>
      </w:r>
      <w:r w:rsidR="00C57632">
        <w:rPr>
          <w:rFonts w:ascii="Arial" w:hAnsi="Arial" w:cs="Arial"/>
          <w:szCs w:val="24"/>
        </w:rPr>
        <w:t xml:space="preserve"> </w:t>
      </w:r>
      <w:r w:rsidRPr="006A3AB9">
        <w:rPr>
          <w:rFonts w:ascii="Arial" w:hAnsi="Arial" w:cs="Arial"/>
          <w:szCs w:val="24"/>
        </w:rPr>
        <w:t xml:space="preserve">frente </w:t>
      </w:r>
      <w:r w:rsidR="00C57632">
        <w:rPr>
          <w:rFonts w:ascii="Arial" w:hAnsi="Arial" w:cs="Arial"/>
          <w:szCs w:val="24"/>
        </w:rPr>
        <w:t xml:space="preserve"> </w:t>
      </w:r>
      <w:r w:rsidRPr="006A3AB9">
        <w:rPr>
          <w:rFonts w:ascii="Arial" w:hAnsi="Arial" w:cs="Arial"/>
          <w:szCs w:val="24"/>
        </w:rPr>
        <w:t xml:space="preserve">del </w:t>
      </w:r>
      <w:r w:rsidR="00C57632">
        <w:rPr>
          <w:rFonts w:ascii="Arial" w:hAnsi="Arial" w:cs="Arial"/>
          <w:szCs w:val="24"/>
        </w:rPr>
        <w:t xml:space="preserve"> </w:t>
      </w:r>
      <w:r w:rsidRPr="006A3AB9">
        <w:rPr>
          <w:rFonts w:ascii="Arial" w:hAnsi="Arial" w:cs="Arial"/>
          <w:szCs w:val="24"/>
        </w:rPr>
        <w:t>examen que se reclama en sede constitucional, resulta de mayúscula</w:t>
      </w:r>
      <w:r w:rsidR="00316D4B">
        <w:rPr>
          <w:rFonts w:ascii="Arial" w:hAnsi="Arial" w:cs="Arial"/>
          <w:szCs w:val="24"/>
        </w:rPr>
        <w:t xml:space="preserve"> </w:t>
      </w:r>
      <w:r w:rsidRPr="006A3AB9">
        <w:rPr>
          <w:rFonts w:ascii="Arial" w:hAnsi="Arial" w:cs="Arial"/>
          <w:szCs w:val="24"/>
        </w:rPr>
        <w:t xml:space="preserve">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CD3E18" w:rsidRPr="007251E6" w:rsidRDefault="00CD3E18" w:rsidP="00CD3E18">
      <w:pPr>
        <w:pStyle w:val="Textoindependiente"/>
        <w:spacing w:line="360" w:lineRule="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CD3E18" w:rsidRPr="00C57632" w:rsidRDefault="00CD3E18" w:rsidP="00CD3E18">
      <w:pPr>
        <w:pStyle w:val="Textoindependiente"/>
        <w:spacing w:line="360" w:lineRule="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sidRPr="006A3AB9">
        <w:rPr>
          <w:rFonts w:ascii="Arial" w:hAnsi="Arial" w:cs="Arial"/>
          <w:szCs w:val="24"/>
        </w:rPr>
        <w:lastRenderedPageBreak/>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243795" w:rsidRPr="00243795" w:rsidRDefault="00243795" w:rsidP="00CD3E18">
      <w:pPr>
        <w:pStyle w:val="Textoindependiente"/>
        <w:spacing w:line="360" w:lineRule="auto"/>
        <w:rPr>
          <w:rFonts w:ascii="Arial" w:hAnsi="Arial" w:cs="Arial"/>
          <w:sz w:val="20"/>
          <w:szCs w:val="24"/>
        </w:rPr>
      </w:pPr>
    </w:p>
    <w:p w:rsidR="00765006" w:rsidRPr="00FE5FF3" w:rsidRDefault="00765006" w:rsidP="00765006">
      <w:pPr>
        <w:pStyle w:val="Prrafodelista"/>
        <w:numPr>
          <w:ilvl w:val="2"/>
          <w:numId w:val="18"/>
        </w:numPr>
        <w:spacing w:line="360" w:lineRule="auto"/>
        <w:ind w:right="22"/>
        <w:jc w:val="both"/>
        <w:rPr>
          <w:rFonts w:ascii="Arial" w:hAnsi="Arial" w:cs="Arial"/>
          <w:smallCaps/>
          <w:szCs w:val="22"/>
          <w:lang w:val="es-ES_tradnl"/>
        </w:rPr>
      </w:pPr>
      <w:r w:rsidRPr="00FE5FF3">
        <w:rPr>
          <w:rFonts w:ascii="Arial" w:hAnsi="Arial" w:cs="Arial"/>
          <w:smallCaps/>
          <w:szCs w:val="22"/>
          <w:lang w:val="es-ES_tradnl"/>
        </w:rPr>
        <w:t>El defecto sustantivo o material</w:t>
      </w:r>
    </w:p>
    <w:p w:rsidR="00765006" w:rsidRPr="00FE5FF3" w:rsidRDefault="00765006" w:rsidP="00765006">
      <w:pPr>
        <w:spacing w:line="360" w:lineRule="auto"/>
        <w:ind w:right="22"/>
        <w:jc w:val="both"/>
        <w:rPr>
          <w:rFonts w:ascii="Arial" w:hAnsi="Arial" w:cs="Arial"/>
          <w:sz w:val="20"/>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8"/>
      </w:r>
      <w:r>
        <w:rPr>
          <w:rFonts w:ascii="Arial" w:hAnsi="Arial" w:cs="Arial"/>
          <w:szCs w:val="22"/>
          <w:lang w:val="es-ES_tradnl"/>
        </w:rPr>
        <w:t>, luego en otra decisión</w:t>
      </w:r>
      <w:r>
        <w:rPr>
          <w:rStyle w:val="Refdenotaalpie"/>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Refdenotaalpie"/>
          <w:rFonts w:ascii="Arial" w:hAnsi="Arial"/>
          <w:szCs w:val="22"/>
          <w:lang w:val="es-ES_tradnl"/>
        </w:rPr>
        <w:footnoteReference w:id="10"/>
      </w:r>
      <w:r>
        <w:rPr>
          <w:rFonts w:ascii="Arial" w:hAnsi="Arial" w:cs="Arial"/>
          <w:szCs w:val="22"/>
          <w:lang w:val="es-ES_tradnl"/>
        </w:rPr>
        <w:t>, al efecto tiene precisadas distintas variables:</w:t>
      </w:r>
    </w:p>
    <w:p w:rsidR="00765006" w:rsidRPr="00FE5FF3" w:rsidRDefault="00765006" w:rsidP="00765006">
      <w:pPr>
        <w:ind w:left="567" w:right="22"/>
        <w:jc w:val="both"/>
        <w:rPr>
          <w:rFonts w:ascii="Arial" w:hAnsi="Arial" w:cs="Arial"/>
          <w:sz w:val="20"/>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1"/>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2"/>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13"/>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Refdenotaalpie"/>
          <w:rFonts w:ascii="Arial" w:hAnsi="Arial"/>
          <w:iCs/>
        </w:rPr>
        <w:footnoteReference w:id="14"/>
      </w:r>
      <w:r>
        <w:rPr>
          <w:rFonts w:ascii="Arial" w:hAnsi="Arial" w:cs="Arial"/>
          <w:iCs/>
          <w:vertAlign w:val="superscript"/>
        </w:rPr>
        <w:t>-</w:t>
      </w:r>
      <w:r>
        <w:rPr>
          <w:rStyle w:val="Refdenotaalpie"/>
          <w:rFonts w:ascii="Arial" w:hAnsi="Arial"/>
          <w:iCs/>
        </w:rPr>
        <w:footnoteReference w:id="15"/>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Pr="00FE5FF3" w:rsidRDefault="00765006" w:rsidP="00765006">
      <w:pPr>
        <w:pStyle w:val="Textoindependiente"/>
        <w:spacing w:line="360" w:lineRule="auto"/>
        <w:rPr>
          <w:rFonts w:ascii="Arial" w:hAnsi="Arial" w:cs="Arial"/>
          <w:sz w:val="20"/>
        </w:rPr>
      </w:pPr>
    </w:p>
    <w:p w:rsidR="00765006" w:rsidRDefault="00765006" w:rsidP="00765006">
      <w:pPr>
        <w:pStyle w:val="Textoindependiente"/>
        <w:spacing w:line="360" w:lineRule="auto"/>
        <w:rPr>
          <w:rFonts w:ascii="Arial" w:hAnsi="Arial" w:cs="Arial"/>
        </w:rPr>
      </w:pPr>
      <w:r w:rsidRPr="00651F25">
        <w:rPr>
          <w:rFonts w:ascii="Arial" w:hAnsi="Arial" w:cs="Arial"/>
        </w:rPr>
        <w:t>Así mismo el alto Tribunal Constitucional</w:t>
      </w:r>
      <w:r w:rsidRPr="00651F25">
        <w:rPr>
          <w:rStyle w:val="Refdenotaalpie"/>
          <w:rFonts w:ascii="Arial" w:hAnsi="Arial"/>
        </w:rPr>
        <w:footnoteReference w:id="16"/>
      </w:r>
      <w:r w:rsidRPr="00651F25">
        <w:rPr>
          <w:rFonts w:ascii="Arial" w:hAnsi="Arial" w:cs="Arial"/>
        </w:rPr>
        <w:t>, señaló:</w:t>
      </w:r>
      <w:r>
        <w:rPr>
          <w:rFonts w:ascii="Arial" w:hAnsi="Arial" w:cs="Arial"/>
        </w:rPr>
        <w:t xml:space="preserve"> </w:t>
      </w:r>
    </w:p>
    <w:p w:rsidR="00765006" w:rsidRPr="00FE5FF3" w:rsidRDefault="00765006" w:rsidP="00765006">
      <w:pPr>
        <w:ind w:left="567" w:right="567"/>
        <w:jc w:val="both"/>
        <w:rPr>
          <w:rFonts w:ascii="Arial" w:hAnsi="Arial" w:cs="Arial"/>
          <w:sz w:val="20"/>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lastRenderedPageBreak/>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CB1C55" w:rsidRDefault="00CB1C55" w:rsidP="0062273B">
      <w:pPr>
        <w:spacing w:line="360" w:lineRule="auto"/>
        <w:jc w:val="both"/>
        <w:rPr>
          <w:rFonts w:ascii="Arial" w:hAnsi="Arial" w:cs="Arial"/>
          <w:lang w:val="es-ES_tradnl"/>
        </w:rPr>
      </w:pPr>
    </w:p>
    <w:p w:rsidR="00AA1E03" w:rsidRPr="00FE5FF3" w:rsidRDefault="00AA1E03" w:rsidP="00AA1E03">
      <w:pPr>
        <w:pStyle w:val="Textoindependiente"/>
        <w:numPr>
          <w:ilvl w:val="2"/>
          <w:numId w:val="18"/>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Default="00AA1E03" w:rsidP="00AA1E03">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394B4A" w:rsidRPr="00FE5FF3" w:rsidRDefault="00394B4A" w:rsidP="00AA1E03">
      <w:pPr>
        <w:pStyle w:val="Textoindependiente"/>
        <w:tabs>
          <w:tab w:val="clear" w:pos="0"/>
          <w:tab w:val="clear" w:pos="708"/>
          <w:tab w:val="left" w:pos="709"/>
        </w:tabs>
        <w:spacing w:line="360" w:lineRule="auto"/>
        <w:rPr>
          <w:rFonts w:ascii="Arial" w:hAnsi="Arial" w:cs="Arial"/>
          <w:sz w:val="20"/>
          <w:szCs w:val="22"/>
        </w:rPr>
      </w:pPr>
    </w:p>
    <w:p w:rsidR="00AA1E03" w:rsidRPr="00556F7F" w:rsidRDefault="00AA1E03" w:rsidP="00AA1E03">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sidR="00394B4A">
        <w:rPr>
          <w:rFonts w:ascii="Arial" w:hAnsi="Arial" w:cs="Arial"/>
          <w:szCs w:val="22"/>
        </w:rPr>
        <w:t xml:space="preserve"> </w:t>
      </w:r>
      <w:r w:rsidRPr="00556F7F">
        <w:rPr>
          <w:rFonts w:ascii="Arial" w:hAnsi="Arial" w:cs="Arial"/>
          <w:szCs w:val="22"/>
        </w:rPr>
        <w:t xml:space="preserve">efectos </w:t>
      </w:r>
      <w:r w:rsidR="00394B4A">
        <w:rPr>
          <w:rFonts w:ascii="Arial" w:hAnsi="Arial" w:cs="Arial"/>
          <w:szCs w:val="22"/>
        </w:rPr>
        <w:t xml:space="preserve"> </w:t>
      </w:r>
      <w:r w:rsidRPr="00556F7F">
        <w:rPr>
          <w:rFonts w:ascii="Arial" w:hAnsi="Arial" w:cs="Arial"/>
          <w:szCs w:val="22"/>
        </w:rPr>
        <w:t xml:space="preserve">de </w:t>
      </w:r>
      <w:r w:rsidR="00394B4A">
        <w:rPr>
          <w:rFonts w:ascii="Arial" w:hAnsi="Arial" w:cs="Arial"/>
          <w:szCs w:val="22"/>
        </w:rPr>
        <w:t xml:space="preserve"> </w:t>
      </w:r>
      <w:r w:rsidRPr="00556F7F">
        <w:rPr>
          <w:rFonts w:ascii="Arial" w:hAnsi="Arial" w:cs="Arial"/>
          <w:szCs w:val="22"/>
        </w:rPr>
        <w:t xml:space="preserve">determinar </w:t>
      </w:r>
      <w:r w:rsidR="00394B4A">
        <w:rPr>
          <w:rFonts w:ascii="Arial" w:hAnsi="Arial" w:cs="Arial"/>
          <w:szCs w:val="22"/>
        </w:rPr>
        <w:t xml:space="preserve"> </w:t>
      </w:r>
      <w:r w:rsidRPr="00556F7F">
        <w:rPr>
          <w:rFonts w:ascii="Arial" w:hAnsi="Arial" w:cs="Arial"/>
          <w:szCs w:val="22"/>
        </w:rPr>
        <w:t xml:space="preserve">si </w:t>
      </w:r>
      <w:r w:rsidR="00394B4A">
        <w:rPr>
          <w:rFonts w:ascii="Arial" w:hAnsi="Arial" w:cs="Arial"/>
          <w:szCs w:val="22"/>
        </w:rPr>
        <w:t xml:space="preserve"> </w:t>
      </w:r>
      <w:r w:rsidRPr="00556F7F">
        <w:rPr>
          <w:rFonts w:ascii="Arial" w:hAnsi="Arial" w:cs="Arial"/>
          <w:szCs w:val="22"/>
        </w:rPr>
        <w:t xml:space="preserve">se </w:t>
      </w:r>
      <w:r w:rsidR="00394B4A">
        <w:rPr>
          <w:rFonts w:ascii="Arial" w:hAnsi="Arial" w:cs="Arial"/>
          <w:szCs w:val="22"/>
        </w:rPr>
        <w:t xml:space="preserve"> </w:t>
      </w:r>
      <w:r w:rsidRPr="00556F7F">
        <w:rPr>
          <w:rFonts w:ascii="Arial" w:hAnsi="Arial" w:cs="Arial"/>
          <w:szCs w:val="22"/>
        </w:rPr>
        <w:t xml:space="preserve">ha </w:t>
      </w:r>
      <w:r w:rsidR="00394B4A">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17"/>
      </w:r>
      <w:r w:rsidRPr="00556F7F">
        <w:rPr>
          <w:rFonts w:ascii="Arial" w:hAnsi="Arial" w:cs="Arial"/>
          <w:sz w:val="22"/>
          <w:szCs w:val="22"/>
        </w:rPr>
        <w:t>.</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No obstante lo anterior, también ha dicho la jurisprudencia constitucional que no siempre ante una duplicidad de acciones se presenta la temeridad en el ejercicio de la tutela, criterio reiterado</w:t>
      </w:r>
      <w:r>
        <w:rPr>
          <w:rStyle w:val="Refdenotaalpie"/>
          <w:rFonts w:ascii="Arial" w:hAnsi="Arial"/>
          <w:szCs w:val="22"/>
        </w:rPr>
        <w:footnoteReference w:id="18"/>
      </w:r>
      <w:r w:rsidRPr="00833A61">
        <w:rPr>
          <w:rFonts w:ascii="Arial" w:hAnsi="Arial" w:cs="Arial"/>
          <w:szCs w:val="22"/>
          <w:vertAlign w:val="superscript"/>
        </w:rPr>
        <w:t>-</w:t>
      </w:r>
      <w:r w:rsidRPr="00556F7F">
        <w:rPr>
          <w:rStyle w:val="Refdenotaalpie"/>
          <w:rFonts w:ascii="Arial" w:hAnsi="Arial"/>
          <w:szCs w:val="22"/>
          <w:lang w:val="es-ES"/>
        </w:rPr>
        <w:footnoteReference w:id="19"/>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20"/>
      </w:r>
      <w:r w:rsidRPr="00556F7F">
        <w:rPr>
          <w:rFonts w:ascii="Arial" w:hAnsi="Arial" w:cs="Arial"/>
          <w:szCs w:val="22"/>
        </w:rPr>
        <w:t>, pues sostiene:</w:t>
      </w:r>
    </w:p>
    <w:p w:rsidR="00AA1E03" w:rsidRPr="00FE5FF3" w:rsidRDefault="00AA1E03" w:rsidP="00AA1E03">
      <w:pPr>
        <w:pStyle w:val="Textoindependiente"/>
        <w:tabs>
          <w:tab w:val="clear" w:pos="0"/>
          <w:tab w:val="clear" w:pos="708"/>
          <w:tab w:val="left" w:pos="709"/>
        </w:tabs>
        <w:spacing w:line="360" w:lineRule="auto"/>
        <w:rPr>
          <w:rFonts w:ascii="Arial" w:hAnsi="Arial" w:cs="Arial"/>
          <w:sz w:val="16"/>
          <w:szCs w:val="22"/>
          <w:lang w:val="es-CO"/>
        </w:rPr>
      </w:pPr>
    </w:p>
    <w:p w:rsidR="00AA1E03" w:rsidRPr="00556F7F" w:rsidRDefault="00AA1E03" w:rsidP="00AA1E0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AA1E03" w:rsidRPr="00FE5FF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21"/>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 xml:space="preserve">es fundamental tener en cuenta que la actuación temeraria, para serlo requiere </w:t>
      </w:r>
      <w:r w:rsidRPr="00530413">
        <w:rPr>
          <w:rFonts w:ascii="Arial" w:hAnsi="Arial" w:cs="Times New Roman"/>
          <w:i/>
          <w:spacing w:val="-3"/>
          <w:sz w:val="22"/>
          <w:szCs w:val="20"/>
          <w:lang w:val="es-ES_tradnl"/>
        </w:rPr>
        <w:lastRenderedPageBreak/>
        <w:t>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22"/>
      </w:r>
      <w:r>
        <w:rPr>
          <w:rFonts w:ascii="Arial" w:hAnsi="Arial" w:cs="Times New Roman"/>
          <w:spacing w:val="-3"/>
          <w:szCs w:val="20"/>
          <w:lang w:val="es-ES_tradnl"/>
        </w:rPr>
        <w:t>.</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23"/>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24"/>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5"/>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AA1E03" w:rsidRPr="001971C0" w:rsidRDefault="00AA1E03" w:rsidP="00AA1E03">
      <w:pPr>
        <w:pStyle w:val="Textoindependiente"/>
        <w:spacing w:line="360" w:lineRule="auto"/>
        <w:rPr>
          <w:rFonts w:ascii="Arial" w:hAnsi="Arial"/>
          <w:sz w:val="20"/>
          <w:szCs w:val="24"/>
        </w:rPr>
      </w:pPr>
    </w:p>
    <w:p w:rsidR="00AA1E03" w:rsidRPr="00A4402B" w:rsidRDefault="00AA1E03" w:rsidP="00AA1E03">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AA1E03" w:rsidRPr="00FE5FF3" w:rsidRDefault="00AA1E03" w:rsidP="0062273B">
      <w:pPr>
        <w:spacing w:line="360" w:lineRule="auto"/>
        <w:jc w:val="both"/>
        <w:rPr>
          <w:rFonts w:ascii="Arial" w:hAnsi="Arial" w:cs="Arial"/>
          <w:sz w:val="20"/>
          <w:lang w:val="es-ES_tradnl"/>
        </w:rPr>
      </w:pPr>
    </w:p>
    <w:p w:rsidR="008E1295" w:rsidRPr="00FE5FF3" w:rsidRDefault="00FE5FF3" w:rsidP="00952597">
      <w:pPr>
        <w:pStyle w:val="Textoindependiente"/>
        <w:numPr>
          <w:ilvl w:val="0"/>
          <w:numId w:val="18"/>
        </w:numPr>
        <w:spacing w:line="360" w:lineRule="auto"/>
        <w:rPr>
          <w:rFonts w:ascii="Arial" w:hAnsi="Arial"/>
          <w:smallCaps/>
          <w:sz w:val="28"/>
          <w:szCs w:val="24"/>
        </w:rPr>
      </w:pPr>
      <w:r>
        <w:rPr>
          <w:rFonts w:ascii="Arial" w:hAnsi="Arial"/>
          <w:smallCaps/>
          <w:sz w:val="28"/>
          <w:szCs w:val="24"/>
        </w:rPr>
        <w:t>E</w:t>
      </w:r>
      <w:r w:rsidRPr="00FE5FF3">
        <w:rPr>
          <w:rFonts w:ascii="Arial" w:hAnsi="Arial"/>
          <w:smallCaps/>
          <w:sz w:val="28"/>
          <w:szCs w:val="24"/>
        </w:rPr>
        <w:t>l caso concreto que se analiza</w:t>
      </w:r>
    </w:p>
    <w:p w:rsidR="008139F4" w:rsidRPr="00FE5FF3" w:rsidRDefault="008139F4" w:rsidP="00AA1E03">
      <w:pPr>
        <w:pStyle w:val="Textoindependiente"/>
        <w:spacing w:line="360" w:lineRule="auto"/>
        <w:rPr>
          <w:rFonts w:ascii="Arial" w:hAnsi="Arial"/>
          <w:sz w:val="20"/>
          <w:szCs w:val="24"/>
        </w:rPr>
      </w:pPr>
    </w:p>
    <w:p w:rsidR="00993BE7" w:rsidRDefault="00993BE7" w:rsidP="00F54A43">
      <w:pPr>
        <w:pStyle w:val="Textoindependiente"/>
        <w:spacing w:line="360" w:lineRule="auto"/>
        <w:rPr>
          <w:rFonts w:ascii="Arial" w:hAnsi="Arial"/>
          <w:szCs w:val="24"/>
        </w:rPr>
      </w:pPr>
      <w:r w:rsidRPr="00F54A43">
        <w:rPr>
          <w:rFonts w:ascii="Arial" w:hAnsi="Arial"/>
          <w:szCs w:val="24"/>
        </w:rPr>
        <w:t xml:space="preserve">En la metodología enseñada por la doctrina constitucional, el primer examen consiste en verificar los presupuestos generales de </w:t>
      </w:r>
      <w:proofErr w:type="spellStart"/>
      <w:r w:rsidRPr="00F54A43">
        <w:rPr>
          <w:rFonts w:ascii="Arial" w:hAnsi="Arial"/>
          <w:szCs w:val="24"/>
        </w:rPr>
        <w:t>procedibilidad</w:t>
      </w:r>
      <w:proofErr w:type="spellEnd"/>
      <w:r w:rsidRPr="00F54A43">
        <w:rPr>
          <w:rFonts w:ascii="Arial" w:hAnsi="Arial"/>
          <w:szCs w:val="24"/>
        </w:rPr>
        <w:t>, y para el caso se hallan debidamente cumplidos. El asunto es de relevancia constitucional; 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(Artículo </w:t>
      </w:r>
      <w:r w:rsidRPr="00F54A43">
        <w:rPr>
          <w:rFonts w:ascii="Arial" w:hAnsi="Arial"/>
          <w:szCs w:val="24"/>
          <w:lang w:val="es-ES"/>
        </w:rPr>
        <w:t xml:space="preserve">36, Ley 472) </w:t>
      </w:r>
      <w:r w:rsidRPr="00F54A43">
        <w:rPr>
          <w:rFonts w:ascii="Arial" w:hAnsi="Arial"/>
          <w:szCs w:val="24"/>
        </w:rPr>
        <w:t xml:space="preserve">(Subsidiariedad); </w:t>
      </w:r>
      <w:r w:rsidR="00855788">
        <w:rPr>
          <w:rFonts w:ascii="Arial" w:hAnsi="Arial"/>
          <w:szCs w:val="24"/>
        </w:rPr>
        <w:t>la actuación</w:t>
      </w:r>
      <w:r w:rsidRPr="00F54A43">
        <w:rPr>
          <w:rFonts w:ascii="Arial" w:hAnsi="Arial"/>
          <w:szCs w:val="24"/>
        </w:rPr>
        <w:t xml:space="preserve"> reprochada no </w:t>
      </w:r>
      <w:r w:rsidR="00855788">
        <w:rPr>
          <w:rFonts w:ascii="Arial" w:hAnsi="Arial"/>
          <w:szCs w:val="24"/>
        </w:rPr>
        <w:t xml:space="preserve">es </w:t>
      </w:r>
      <w:r w:rsidRPr="00F54A43">
        <w:rPr>
          <w:rFonts w:ascii="Arial" w:hAnsi="Arial"/>
          <w:szCs w:val="24"/>
        </w:rPr>
        <w:t xml:space="preserve">de tutela; hay inmediatez porque la </w:t>
      </w:r>
      <w:r w:rsidR="00855788">
        <w:rPr>
          <w:rFonts w:ascii="Arial" w:hAnsi="Arial"/>
          <w:szCs w:val="24"/>
        </w:rPr>
        <w:t xml:space="preserve">decisión </w:t>
      </w:r>
      <w:r w:rsidRPr="00F54A43">
        <w:rPr>
          <w:rFonts w:ascii="Arial" w:hAnsi="Arial"/>
          <w:szCs w:val="24"/>
        </w:rPr>
        <w:t xml:space="preserve">que </w:t>
      </w:r>
      <w:r w:rsidR="00855788">
        <w:rPr>
          <w:rFonts w:ascii="Arial" w:hAnsi="Arial"/>
          <w:szCs w:val="24"/>
        </w:rPr>
        <w:t>resolvió</w:t>
      </w:r>
      <w:r w:rsidR="005A6EF5" w:rsidRPr="00F54A43">
        <w:rPr>
          <w:rFonts w:ascii="Arial" w:hAnsi="Arial"/>
          <w:szCs w:val="24"/>
        </w:rPr>
        <w:t xml:space="preserve"> la </w:t>
      </w:r>
      <w:r w:rsidR="00855788">
        <w:rPr>
          <w:rFonts w:ascii="Arial" w:hAnsi="Arial"/>
          <w:szCs w:val="24"/>
        </w:rPr>
        <w:t>reposición presentada</w:t>
      </w:r>
      <w:r w:rsidR="00CD3E18">
        <w:rPr>
          <w:rFonts w:ascii="Arial" w:hAnsi="Arial"/>
          <w:szCs w:val="24"/>
        </w:rPr>
        <w:t xml:space="preserve"> </w:t>
      </w:r>
      <w:r w:rsidR="005A6EF5" w:rsidRPr="00F54A43">
        <w:rPr>
          <w:rFonts w:ascii="Arial" w:hAnsi="Arial"/>
          <w:szCs w:val="24"/>
        </w:rPr>
        <w:t>data</w:t>
      </w:r>
      <w:r w:rsidRPr="00F54A43">
        <w:rPr>
          <w:rFonts w:ascii="Arial" w:hAnsi="Arial"/>
          <w:szCs w:val="24"/>
        </w:rPr>
        <w:t xml:space="preserve"> del día </w:t>
      </w:r>
      <w:r w:rsidR="00922394">
        <w:rPr>
          <w:rFonts w:ascii="Arial" w:hAnsi="Arial"/>
          <w:szCs w:val="24"/>
        </w:rPr>
        <w:t xml:space="preserve">24-05-2016 </w:t>
      </w:r>
      <w:r w:rsidRPr="00F54A43">
        <w:rPr>
          <w:rFonts w:ascii="Arial" w:hAnsi="Arial"/>
          <w:szCs w:val="24"/>
        </w:rPr>
        <w:t>(Folio</w:t>
      </w:r>
      <w:r w:rsidR="00CD3E18">
        <w:rPr>
          <w:rFonts w:ascii="Arial" w:hAnsi="Arial"/>
          <w:szCs w:val="24"/>
        </w:rPr>
        <w:t>s</w:t>
      </w:r>
      <w:r w:rsidRPr="00F54A43">
        <w:rPr>
          <w:rFonts w:ascii="Arial" w:hAnsi="Arial"/>
          <w:szCs w:val="24"/>
        </w:rPr>
        <w:t xml:space="preserve"> </w:t>
      </w:r>
      <w:r w:rsidR="00922394">
        <w:rPr>
          <w:rFonts w:ascii="Arial" w:hAnsi="Arial"/>
          <w:szCs w:val="24"/>
        </w:rPr>
        <w:t>12</w:t>
      </w:r>
      <w:r w:rsidRPr="00F54A43">
        <w:rPr>
          <w:rFonts w:ascii="Arial" w:hAnsi="Arial"/>
          <w:szCs w:val="24"/>
        </w:rPr>
        <w:t xml:space="preserve">, ib.) y </w:t>
      </w:r>
      <w:r w:rsidR="00855788">
        <w:rPr>
          <w:rFonts w:ascii="Arial" w:hAnsi="Arial"/>
          <w:szCs w:val="24"/>
        </w:rPr>
        <w:t xml:space="preserve">la acción </w:t>
      </w:r>
      <w:r w:rsidR="005A6EF5" w:rsidRPr="00F54A43">
        <w:rPr>
          <w:rFonts w:ascii="Arial" w:hAnsi="Arial"/>
          <w:szCs w:val="24"/>
        </w:rPr>
        <w:t xml:space="preserve">fue </w:t>
      </w:r>
      <w:r w:rsidRPr="00F54A43">
        <w:rPr>
          <w:rFonts w:ascii="Arial" w:hAnsi="Arial"/>
          <w:szCs w:val="24"/>
        </w:rPr>
        <w:t xml:space="preserve">instaurada el </w:t>
      </w:r>
      <w:r w:rsidR="00922394">
        <w:rPr>
          <w:rFonts w:ascii="Arial" w:hAnsi="Arial"/>
          <w:szCs w:val="24"/>
        </w:rPr>
        <w:t xml:space="preserve">25-10-2016 </w:t>
      </w:r>
      <w:r w:rsidR="00855788">
        <w:rPr>
          <w:rFonts w:ascii="Arial" w:hAnsi="Arial"/>
          <w:szCs w:val="24"/>
        </w:rPr>
        <w:t>(Folio</w:t>
      </w:r>
      <w:r w:rsidR="00CD3E18">
        <w:rPr>
          <w:rFonts w:ascii="Arial" w:hAnsi="Arial"/>
          <w:szCs w:val="24"/>
        </w:rPr>
        <w:t xml:space="preserve"> </w:t>
      </w:r>
      <w:r w:rsidR="00855788">
        <w:rPr>
          <w:rFonts w:ascii="Arial" w:hAnsi="Arial"/>
          <w:szCs w:val="24"/>
        </w:rPr>
        <w:t>2</w:t>
      </w:r>
      <w:r w:rsidRPr="00F54A43">
        <w:rPr>
          <w:rFonts w:ascii="Arial" w:hAnsi="Arial"/>
          <w:szCs w:val="24"/>
        </w:rPr>
        <w:t xml:space="preserve">, </w:t>
      </w:r>
      <w:r w:rsidRPr="00F54A43">
        <w:rPr>
          <w:rFonts w:ascii="Arial" w:hAnsi="Arial"/>
          <w:szCs w:val="24"/>
        </w:rPr>
        <w:lastRenderedPageBreak/>
        <w:t xml:space="preserve">ib.); </w:t>
      </w:r>
      <w:r w:rsidR="00BA67C3" w:rsidRPr="00F54A43">
        <w:rPr>
          <w:rFonts w:ascii="Arial" w:hAnsi="Arial"/>
          <w:szCs w:val="24"/>
        </w:rPr>
        <w:t xml:space="preserve">y, </w:t>
      </w:r>
      <w:r w:rsidRPr="00F54A43">
        <w:rPr>
          <w:rFonts w:ascii="Arial" w:hAnsi="Arial"/>
          <w:szCs w:val="24"/>
        </w:rPr>
        <w:t xml:space="preserve">la irregularidad realzada por la parte, resulta ser trascendente para el desarrollo de la </w:t>
      </w:r>
      <w:proofErr w:type="spellStart"/>
      <w:r w:rsidRPr="00F54A43">
        <w:rPr>
          <w:rFonts w:ascii="Arial" w:hAnsi="Arial"/>
          <w:szCs w:val="24"/>
        </w:rPr>
        <w:t>litis</w:t>
      </w:r>
      <w:proofErr w:type="spellEnd"/>
      <w:r w:rsidRPr="00F54A43">
        <w:rPr>
          <w:rFonts w:ascii="Arial" w:hAnsi="Arial"/>
          <w:szCs w:val="24"/>
        </w:rPr>
        <w:t>.</w:t>
      </w:r>
    </w:p>
    <w:p w:rsidR="001E5C81" w:rsidRPr="00855788" w:rsidRDefault="001E5C81" w:rsidP="00F54A43">
      <w:pPr>
        <w:pStyle w:val="Textoindependiente"/>
        <w:spacing w:line="360" w:lineRule="auto"/>
        <w:rPr>
          <w:rFonts w:ascii="Arial" w:hAnsi="Arial"/>
          <w:sz w:val="20"/>
          <w:szCs w:val="24"/>
        </w:rPr>
      </w:pPr>
    </w:p>
    <w:p w:rsidR="001E5C81" w:rsidRPr="00FE5FF3" w:rsidRDefault="001E5C81" w:rsidP="001E5C81">
      <w:pPr>
        <w:pStyle w:val="Prrafodelista"/>
        <w:numPr>
          <w:ilvl w:val="1"/>
          <w:numId w:val="18"/>
        </w:numPr>
        <w:spacing w:line="360" w:lineRule="auto"/>
        <w:ind w:right="22"/>
        <w:jc w:val="both"/>
        <w:rPr>
          <w:rFonts w:ascii="Arial" w:hAnsi="Arial" w:cs="Arial"/>
          <w:smallCaps/>
          <w:sz w:val="26"/>
          <w:szCs w:val="26"/>
          <w:lang w:val="es-ES_tradnl"/>
        </w:rPr>
      </w:pPr>
      <w:r w:rsidRPr="00FE5FF3">
        <w:rPr>
          <w:rFonts w:ascii="Arial" w:hAnsi="Arial" w:cs="Arial"/>
          <w:smallCaps/>
          <w:sz w:val="26"/>
          <w:szCs w:val="26"/>
          <w:lang w:val="es-ES_tradnl"/>
        </w:rPr>
        <w:t>El defecto sustantivo o material</w:t>
      </w:r>
    </w:p>
    <w:p w:rsidR="00993BE7" w:rsidRPr="00855788" w:rsidRDefault="00993BE7" w:rsidP="00F54A43">
      <w:pPr>
        <w:pStyle w:val="Textoindependiente"/>
        <w:spacing w:line="360" w:lineRule="auto"/>
        <w:rPr>
          <w:rFonts w:ascii="Arial" w:hAnsi="Arial"/>
          <w:sz w:val="20"/>
          <w:szCs w:val="24"/>
        </w:rPr>
      </w:pPr>
    </w:p>
    <w:p w:rsidR="00993BE7" w:rsidRPr="00F54A43" w:rsidRDefault="00993BE7" w:rsidP="00F54A43">
      <w:pPr>
        <w:widowControl/>
        <w:spacing w:line="360" w:lineRule="auto"/>
        <w:jc w:val="both"/>
        <w:rPr>
          <w:rFonts w:ascii="Arial" w:hAnsi="Arial" w:cs="Arial"/>
          <w:color w:val="000000"/>
        </w:rPr>
      </w:pPr>
      <w:r w:rsidRPr="00F54A43">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F54A43">
        <w:rPr>
          <w:rFonts w:ascii="Arial" w:hAnsi="Arial" w:cs="Arial"/>
          <w:color w:val="000000"/>
        </w:rPr>
        <w:t xml:space="preserve">que </w:t>
      </w:r>
      <w:r w:rsidR="005A6EF5" w:rsidRPr="00F54A43">
        <w:rPr>
          <w:rFonts w:ascii="Arial" w:hAnsi="Arial" w:cs="Arial"/>
          <w:color w:val="000000"/>
        </w:rPr>
        <w:t xml:space="preserve">la </w:t>
      </w:r>
      <w:r w:rsidR="00CD3E18">
        <w:rPr>
          <w:rFonts w:ascii="Arial" w:hAnsi="Arial" w:cs="Arial"/>
          <w:color w:val="000000"/>
        </w:rPr>
        <w:t xml:space="preserve">jueza </w:t>
      </w:r>
      <w:r w:rsidR="005A6EF5" w:rsidRPr="00F54A43">
        <w:rPr>
          <w:rFonts w:ascii="Arial" w:hAnsi="Arial" w:cs="Arial"/>
          <w:color w:val="000000"/>
        </w:rPr>
        <w:t xml:space="preserve">accionada debió </w:t>
      </w:r>
      <w:r w:rsidR="00EA3E32">
        <w:rPr>
          <w:rFonts w:ascii="Arial" w:hAnsi="Arial" w:cs="Arial"/>
          <w:color w:val="000000"/>
        </w:rPr>
        <w:t>ordenar que la comunicación a la comunidad de la existencia de la acción popular se hiciera a través de la emisora de la Policía Nacional</w:t>
      </w:r>
      <w:r w:rsidR="005A6EF5" w:rsidRPr="00F54A43">
        <w:rPr>
          <w:rFonts w:ascii="Arial" w:hAnsi="Arial" w:cs="Arial"/>
          <w:color w:val="000000"/>
        </w:rPr>
        <w:t>, máxime cuando su impulso es oficioso</w:t>
      </w:r>
      <w:r w:rsidRPr="00F54A43">
        <w:rPr>
          <w:rFonts w:ascii="Arial" w:hAnsi="Arial" w:cs="Arial"/>
          <w:color w:val="000000"/>
        </w:rPr>
        <w:t>.</w:t>
      </w:r>
    </w:p>
    <w:p w:rsidR="00993BE7" w:rsidRDefault="00993BE7" w:rsidP="00F54A43">
      <w:pPr>
        <w:widowControl/>
        <w:spacing w:line="360" w:lineRule="auto"/>
        <w:jc w:val="both"/>
        <w:rPr>
          <w:rFonts w:ascii="Arial" w:hAnsi="Arial" w:cs="Arial"/>
          <w:sz w:val="20"/>
        </w:rPr>
      </w:pPr>
    </w:p>
    <w:p w:rsidR="00865982" w:rsidRDefault="00865982" w:rsidP="00865982">
      <w:pPr>
        <w:spacing w:line="360" w:lineRule="auto"/>
        <w:jc w:val="both"/>
        <w:rPr>
          <w:rFonts w:ascii="Arial" w:hAnsi="Arial" w:cs="Arial"/>
          <w:lang w:val="es-CO"/>
        </w:rPr>
      </w:pPr>
      <w:r w:rsidRPr="00F54A43">
        <w:rPr>
          <w:rFonts w:ascii="Arial" w:hAnsi="Arial" w:cs="Arial"/>
          <w:lang w:val="es-CO"/>
        </w:rPr>
        <w:t xml:space="preserve">En </w:t>
      </w:r>
      <w:r>
        <w:rPr>
          <w:rFonts w:ascii="Arial" w:hAnsi="Arial" w:cs="Arial"/>
          <w:lang w:val="es-CO"/>
        </w:rPr>
        <w:t xml:space="preserve">la acción </w:t>
      </w:r>
      <w:r w:rsidRPr="00F54A43">
        <w:rPr>
          <w:rFonts w:ascii="Arial" w:hAnsi="Arial" w:cs="Arial"/>
          <w:lang w:val="es-CO"/>
        </w:rPr>
        <w:t xml:space="preserve">popular la </w:t>
      </w:r>
      <w:r w:rsidRPr="00F54A43">
        <w:rPr>
          <w:rFonts w:ascii="Arial" w:hAnsi="Arial" w:cs="Arial"/>
          <w:i/>
          <w:lang w:val="es-CO"/>
        </w:rPr>
        <w:t xml:space="preserve">a quo </w:t>
      </w:r>
      <w:r w:rsidRPr="00F54A43">
        <w:rPr>
          <w:rFonts w:ascii="Arial" w:hAnsi="Arial" w:cs="Arial"/>
          <w:lang w:val="es-CO"/>
        </w:rPr>
        <w:t xml:space="preserve">accionada con proveído del </w:t>
      </w:r>
      <w:r>
        <w:rPr>
          <w:rFonts w:ascii="Arial" w:hAnsi="Arial" w:cs="Arial"/>
          <w:lang w:val="es-CO"/>
        </w:rPr>
        <w:t xml:space="preserve">28-04-2016 la admitió y dispuso, entre otras ordenes, que el accionante efectuara el aviso a la comunidad en un medio de amplia circulación en el lugar de la vulneración </w:t>
      </w:r>
      <w:r w:rsidRPr="00F54A43">
        <w:rPr>
          <w:rFonts w:ascii="Arial" w:hAnsi="Arial" w:cs="Arial"/>
          <w:lang w:val="es-CO"/>
        </w:rPr>
        <w:t xml:space="preserve">(Folio </w:t>
      </w:r>
      <w:r>
        <w:rPr>
          <w:rFonts w:ascii="Arial" w:hAnsi="Arial" w:cs="Arial"/>
          <w:lang w:val="es-CO"/>
        </w:rPr>
        <w:t>11</w:t>
      </w:r>
      <w:r w:rsidRPr="00F54A43">
        <w:rPr>
          <w:rFonts w:ascii="Arial" w:hAnsi="Arial" w:cs="Arial"/>
          <w:lang w:val="es-CO"/>
        </w:rPr>
        <w:t xml:space="preserve">, ib.), </w:t>
      </w:r>
      <w:r>
        <w:rPr>
          <w:rFonts w:ascii="Arial" w:hAnsi="Arial" w:cs="Arial"/>
          <w:lang w:val="es-CO"/>
        </w:rPr>
        <w:t xml:space="preserve">recurrido por el actor (Folio 12, ib.), el despacho con auto del 24-05-2016 se abstuvo de tramitarlo porque no fue sustentado </w:t>
      </w:r>
      <w:r w:rsidRPr="00F54A43">
        <w:rPr>
          <w:rFonts w:ascii="Arial" w:hAnsi="Arial" w:cs="Arial"/>
          <w:lang w:val="es-CO"/>
        </w:rPr>
        <w:t>(Folio</w:t>
      </w:r>
      <w:r>
        <w:rPr>
          <w:rFonts w:ascii="Arial" w:hAnsi="Arial" w:cs="Arial"/>
          <w:lang w:val="es-CO"/>
        </w:rPr>
        <w:t>s</w:t>
      </w:r>
      <w:r w:rsidRPr="00F54A43">
        <w:rPr>
          <w:rFonts w:ascii="Arial" w:hAnsi="Arial" w:cs="Arial"/>
          <w:lang w:val="es-CO"/>
        </w:rPr>
        <w:t xml:space="preserve"> </w:t>
      </w:r>
      <w:r>
        <w:rPr>
          <w:rFonts w:ascii="Arial" w:hAnsi="Arial" w:cs="Arial"/>
          <w:lang w:val="es-CO"/>
        </w:rPr>
        <w:t xml:space="preserve">12 </w:t>
      </w:r>
      <w:proofErr w:type="spellStart"/>
      <w:r>
        <w:rPr>
          <w:rFonts w:ascii="Arial" w:hAnsi="Arial" w:cs="Arial"/>
          <w:lang w:val="es-CO"/>
        </w:rPr>
        <w:t>vto</w:t>
      </w:r>
      <w:proofErr w:type="spellEnd"/>
      <w:r w:rsidRPr="00F54A43">
        <w:rPr>
          <w:rFonts w:ascii="Arial" w:hAnsi="Arial" w:cs="Arial"/>
          <w:lang w:val="es-CO"/>
        </w:rPr>
        <w:t>, ib.).</w:t>
      </w:r>
    </w:p>
    <w:p w:rsidR="00865982" w:rsidRPr="00855788" w:rsidRDefault="00865982" w:rsidP="00F54A43">
      <w:pPr>
        <w:widowControl/>
        <w:spacing w:line="360" w:lineRule="auto"/>
        <w:jc w:val="both"/>
        <w:rPr>
          <w:rFonts w:ascii="Arial" w:hAnsi="Arial" w:cs="Arial"/>
          <w:sz w:val="20"/>
        </w:rPr>
      </w:pPr>
    </w:p>
    <w:p w:rsidR="003F7ED1" w:rsidRPr="00F54A43" w:rsidRDefault="00BA67C3" w:rsidP="00F54A43">
      <w:pPr>
        <w:spacing w:line="360" w:lineRule="auto"/>
        <w:jc w:val="both"/>
        <w:rPr>
          <w:rFonts w:ascii="Arial" w:hAnsi="Arial" w:cs="Arial"/>
        </w:rPr>
      </w:pPr>
      <w:r w:rsidRPr="00F54A43">
        <w:rPr>
          <w:rFonts w:ascii="Arial" w:hAnsi="Arial" w:cs="Arial"/>
          <w:bCs/>
        </w:rPr>
        <w:t xml:space="preserve">El </w:t>
      </w:r>
      <w:r w:rsidR="00B216BF" w:rsidRPr="00F54A43">
        <w:rPr>
          <w:rFonts w:ascii="Arial" w:hAnsi="Arial" w:cs="Arial"/>
          <w:color w:val="000000"/>
        </w:rPr>
        <w:t>artículo 5º-3º de la Ley 472, prescribe como obligación del juez, impulsar oficiosamente el trámite de las acciones populares; por su parte el artículo 21, consagra</w:t>
      </w:r>
      <w:r w:rsidR="00494C58" w:rsidRPr="00F54A43">
        <w:rPr>
          <w:rFonts w:ascii="Arial" w:hAnsi="Arial" w:cs="Arial"/>
          <w:color w:val="000000"/>
        </w:rPr>
        <w:t>,</w:t>
      </w:r>
      <w:r w:rsidR="00B216BF" w:rsidRPr="00F54A43">
        <w:rPr>
          <w:rFonts w:ascii="Arial" w:hAnsi="Arial" w:cs="Arial"/>
          <w:color w:val="000000"/>
        </w:rPr>
        <w:t xml:space="preserve"> entre otras</w:t>
      </w:r>
      <w:r w:rsidR="00494C58" w:rsidRPr="00F54A43">
        <w:rPr>
          <w:rFonts w:ascii="Arial" w:hAnsi="Arial" w:cs="Arial"/>
          <w:color w:val="000000"/>
        </w:rPr>
        <w:t>,</w:t>
      </w:r>
      <w:r w:rsidR="00B216BF" w:rsidRPr="00F54A43">
        <w:rPr>
          <w:rFonts w:ascii="Arial" w:hAnsi="Arial" w:cs="Arial"/>
          <w:color w:val="000000"/>
        </w:rPr>
        <w:t xml:space="preserve"> la obligación de informar sobre la existencia del amparo a los miembros de la comunidad por intermedio de medios masivos de comunicación o cualquier otro eficaz</w:t>
      </w:r>
      <w:r w:rsidR="00ED7146" w:rsidRPr="00F54A43">
        <w:rPr>
          <w:rFonts w:ascii="Arial" w:hAnsi="Arial" w:cs="Arial"/>
          <w:color w:val="000000"/>
        </w:rPr>
        <w:t>;</w:t>
      </w:r>
      <w:r w:rsidRPr="00F54A43">
        <w:rPr>
          <w:rFonts w:ascii="Arial" w:hAnsi="Arial" w:cs="Arial"/>
        </w:rPr>
        <w:t xml:space="preserve"> mientras </w:t>
      </w:r>
      <w:r w:rsidRPr="00F54A43">
        <w:rPr>
          <w:rFonts w:ascii="Arial" w:hAnsi="Arial" w:cs="Arial"/>
          <w:lang w:val="es-CO"/>
        </w:rPr>
        <w:t xml:space="preserve">que </w:t>
      </w:r>
      <w:r w:rsidR="00B216BF" w:rsidRPr="00F54A43">
        <w:rPr>
          <w:rFonts w:ascii="Arial" w:hAnsi="Arial" w:cs="Arial"/>
          <w:lang w:val="es-CO"/>
        </w:rPr>
        <w:t xml:space="preserve">el artículo 44 ídem </w:t>
      </w:r>
      <w:r w:rsidRPr="00F54A43">
        <w:rPr>
          <w:rFonts w:ascii="Arial" w:hAnsi="Arial" w:cs="Arial"/>
          <w:lang w:val="es-CO"/>
        </w:rPr>
        <w:t xml:space="preserve">establece que en estos asuntos </w:t>
      </w:r>
      <w:r w:rsidR="00B216BF" w:rsidRPr="00F54A43">
        <w:rPr>
          <w:rFonts w:ascii="Arial" w:hAnsi="Arial" w:cs="Arial"/>
        </w:rPr>
        <w:t xml:space="preserve">se aplicarán las disposiciones del CPC </w:t>
      </w:r>
      <w:r w:rsidR="00B216BF" w:rsidRPr="00F54A43">
        <w:rPr>
          <w:rFonts w:ascii="Arial" w:hAnsi="Arial" w:cs="Arial"/>
          <w:lang w:val="es-CO"/>
        </w:rPr>
        <w:t>(Hoy CGP)</w:t>
      </w:r>
      <w:r w:rsidR="00B216BF" w:rsidRPr="00F54A43">
        <w:rPr>
          <w:rFonts w:ascii="Arial" w:hAnsi="Arial" w:cs="Arial"/>
        </w:rPr>
        <w:t>, en los aspectos no regulados en la Ley</w:t>
      </w:r>
      <w:r w:rsidRPr="00F54A43">
        <w:rPr>
          <w:rFonts w:ascii="Arial" w:hAnsi="Arial" w:cs="Arial"/>
        </w:rPr>
        <w:t>.</w:t>
      </w:r>
    </w:p>
    <w:p w:rsidR="00B216BF" w:rsidRPr="00855788" w:rsidRDefault="00B216BF" w:rsidP="00F54A43">
      <w:pPr>
        <w:spacing w:line="360" w:lineRule="auto"/>
        <w:jc w:val="both"/>
        <w:rPr>
          <w:rFonts w:ascii="Arial" w:hAnsi="Arial" w:cs="Arial"/>
          <w:sz w:val="20"/>
        </w:rPr>
      </w:pPr>
    </w:p>
    <w:p w:rsidR="00865982" w:rsidRDefault="00865982" w:rsidP="00865982">
      <w:pPr>
        <w:widowControl/>
        <w:spacing w:line="360" w:lineRule="auto"/>
        <w:jc w:val="both"/>
        <w:rPr>
          <w:rFonts w:ascii="Arial" w:hAnsi="Arial" w:cs="Arial"/>
          <w:color w:val="000000"/>
          <w:szCs w:val="23"/>
        </w:rPr>
      </w:pPr>
      <w:r>
        <w:rPr>
          <w:rFonts w:ascii="Arial" w:hAnsi="Arial" w:cs="Arial"/>
          <w:color w:val="000000"/>
          <w:szCs w:val="23"/>
        </w:rPr>
        <w:t xml:space="preserve">A partir de lo dicho, podría llegarse a la conclusión de que prima el impulso oficioso del juez director del proceso, pero lo cierto es que, la norma tampoco consagra una exoneración de las cargas (Notificación del accionado a expensas del accionante o la publicación del aviso a la comunidad) que pueda imponerle al actor, el juez de conocimiento. </w:t>
      </w:r>
    </w:p>
    <w:p w:rsidR="00865982" w:rsidRDefault="00865982" w:rsidP="00F54A43">
      <w:pPr>
        <w:pStyle w:val="Sangradetextonormal"/>
        <w:spacing w:after="0" w:line="360" w:lineRule="auto"/>
        <w:ind w:left="0"/>
        <w:jc w:val="both"/>
        <w:rPr>
          <w:rFonts w:ascii="Arial" w:hAnsi="Arial" w:cs="Arial"/>
          <w:color w:val="000000"/>
        </w:rPr>
      </w:pPr>
    </w:p>
    <w:p w:rsidR="00865982" w:rsidRPr="00534D20" w:rsidRDefault="00865982" w:rsidP="00865982">
      <w:pPr>
        <w:widowControl/>
        <w:spacing w:line="360" w:lineRule="auto"/>
        <w:jc w:val="both"/>
        <w:rPr>
          <w:rFonts w:ascii="Arial" w:hAnsi="Arial" w:cs="Arial"/>
          <w:color w:val="000000"/>
          <w:sz w:val="23"/>
          <w:szCs w:val="23"/>
          <w:lang w:val="es-CO"/>
        </w:rPr>
      </w:pPr>
      <w:r>
        <w:rPr>
          <w:rFonts w:ascii="Arial" w:hAnsi="Arial" w:cs="Arial"/>
          <w:color w:val="000000"/>
          <w:szCs w:val="23"/>
        </w:rPr>
        <w:t xml:space="preserve">Dentro de ese contexto, si bien se le ha impuesto al actor el deber de </w:t>
      </w:r>
      <w:r w:rsidR="007F7973">
        <w:rPr>
          <w:rFonts w:ascii="Arial" w:hAnsi="Arial" w:cs="Arial"/>
          <w:color w:val="000000"/>
          <w:szCs w:val="23"/>
        </w:rPr>
        <w:t xml:space="preserve">avisar a la comunidad por </w:t>
      </w:r>
      <w:r>
        <w:rPr>
          <w:rFonts w:ascii="Arial" w:hAnsi="Arial" w:cs="Arial"/>
          <w:color w:val="000000"/>
          <w:szCs w:val="23"/>
        </w:rPr>
        <w:t>al accionado, ello estima la Sala no puede considerarse como un actuar antojadizo o injustificado del juez que vulnere sus derechos, ni refleja una acción tendiente a e</w:t>
      </w:r>
      <w:r>
        <w:rPr>
          <w:rFonts w:ascii="Arial" w:hAnsi="Arial" w:cs="Arial"/>
        </w:rPr>
        <w:t xml:space="preserve">squivar el impulso oficioso que le atribuye la citada Ley, ya que, esas son </w:t>
      </w:r>
      <w:r w:rsidRPr="00F408B6">
        <w:rPr>
          <w:rFonts w:ascii="Arial" w:hAnsi="Arial" w:cs="Arial"/>
          <w:color w:val="000000"/>
        </w:rPr>
        <w:t xml:space="preserve"> gestiones </w:t>
      </w:r>
      <w:r>
        <w:rPr>
          <w:rFonts w:ascii="Arial" w:hAnsi="Arial" w:cs="Arial"/>
          <w:color w:val="000000"/>
        </w:rPr>
        <w:t xml:space="preserve">que </w:t>
      </w:r>
      <w:r w:rsidRPr="00F408B6">
        <w:rPr>
          <w:rFonts w:ascii="Arial" w:hAnsi="Arial" w:cs="Arial"/>
          <w:color w:val="000000"/>
        </w:rPr>
        <w:t xml:space="preserve">permiten inferir </w:t>
      </w:r>
      <w:r>
        <w:rPr>
          <w:rFonts w:ascii="Arial" w:hAnsi="Arial" w:cs="Arial"/>
          <w:color w:val="000000"/>
        </w:rPr>
        <w:t>un</w:t>
      </w:r>
      <w:r w:rsidRPr="00F408B6">
        <w:rPr>
          <w:rFonts w:ascii="Arial" w:hAnsi="Arial" w:cs="Arial"/>
          <w:color w:val="000000"/>
        </w:rPr>
        <w:t xml:space="preserve">a </w:t>
      </w:r>
      <w:r>
        <w:rPr>
          <w:rFonts w:ascii="Arial" w:hAnsi="Arial" w:cs="Arial"/>
          <w:color w:val="000000"/>
        </w:rPr>
        <w:t xml:space="preserve">mínima </w:t>
      </w:r>
      <w:r w:rsidRPr="00F408B6">
        <w:rPr>
          <w:rFonts w:ascii="Arial" w:hAnsi="Arial" w:cs="Arial"/>
          <w:color w:val="000000"/>
        </w:rPr>
        <w:t xml:space="preserve">diligencia </w:t>
      </w:r>
      <w:r>
        <w:rPr>
          <w:rFonts w:ascii="Arial" w:hAnsi="Arial" w:cs="Arial"/>
          <w:color w:val="000000"/>
        </w:rPr>
        <w:t xml:space="preserve">por parte del promotor de la acción </w:t>
      </w:r>
      <w:r>
        <w:rPr>
          <w:rFonts w:ascii="Arial" w:hAnsi="Arial" w:cs="Arial"/>
          <w:color w:val="000000"/>
        </w:rPr>
        <w:lastRenderedPageBreak/>
        <w:t xml:space="preserve">con el fin de </w:t>
      </w:r>
      <w:r w:rsidRPr="00F408B6">
        <w:rPr>
          <w:rFonts w:ascii="Arial" w:hAnsi="Arial" w:cs="Arial"/>
          <w:color w:val="000000"/>
        </w:rPr>
        <w:t>obtener la protección de lo</w:t>
      </w:r>
      <w:r>
        <w:rPr>
          <w:rFonts w:ascii="Arial" w:hAnsi="Arial" w:cs="Arial"/>
          <w:color w:val="000000"/>
        </w:rPr>
        <w:t xml:space="preserve">s derechos colectivos vulnerados; tal como lo ha reconocido </w:t>
      </w:r>
      <w:r>
        <w:rPr>
          <w:rFonts w:ascii="Arial" w:hAnsi="Arial" w:cs="Arial"/>
        </w:rPr>
        <w:t xml:space="preserve">el </w:t>
      </w:r>
      <w:r w:rsidR="00D24EE7">
        <w:rPr>
          <w:rFonts w:ascii="Arial" w:hAnsi="Arial" w:cs="Arial"/>
        </w:rPr>
        <w:t>CE</w:t>
      </w:r>
      <w:r>
        <w:rPr>
          <w:rStyle w:val="Refdenotaalpie"/>
          <w:rFonts w:ascii="Arial" w:hAnsi="Arial"/>
        </w:rPr>
        <w:footnoteReference w:id="26"/>
      </w:r>
      <w:r>
        <w:rPr>
          <w:rFonts w:ascii="Arial" w:hAnsi="Arial" w:cs="Arial"/>
        </w:rPr>
        <w:t>.</w:t>
      </w:r>
      <w:r w:rsidR="00534D20">
        <w:rPr>
          <w:rFonts w:ascii="Arial" w:hAnsi="Arial" w:cs="Arial"/>
        </w:rPr>
        <w:t xml:space="preserve"> </w:t>
      </w:r>
    </w:p>
    <w:p w:rsidR="00865982" w:rsidRDefault="00865982" w:rsidP="00865982">
      <w:pPr>
        <w:widowControl/>
        <w:spacing w:line="360" w:lineRule="auto"/>
        <w:jc w:val="both"/>
        <w:rPr>
          <w:rFonts w:ascii="Arial" w:hAnsi="Arial" w:cs="Arial"/>
          <w:color w:val="000000"/>
          <w:szCs w:val="23"/>
        </w:rPr>
      </w:pPr>
    </w:p>
    <w:p w:rsidR="00865982" w:rsidRDefault="00865982" w:rsidP="00865982">
      <w:pPr>
        <w:widowControl/>
        <w:spacing w:line="360" w:lineRule="auto"/>
        <w:jc w:val="both"/>
        <w:rPr>
          <w:rFonts w:ascii="Arial" w:hAnsi="Arial" w:cs="Arial"/>
          <w:color w:val="000000"/>
          <w:szCs w:val="23"/>
        </w:rPr>
      </w:pPr>
      <w:r>
        <w:rPr>
          <w:rFonts w:ascii="Arial" w:hAnsi="Arial" w:cs="Arial"/>
          <w:color w:val="000000"/>
          <w:szCs w:val="23"/>
        </w:rPr>
        <w:t xml:space="preserve">Esta interpretación acoge el pensamiento de la </w:t>
      </w:r>
      <w:r w:rsidR="00D24EE7">
        <w:rPr>
          <w:rFonts w:ascii="Arial" w:hAnsi="Arial" w:cs="Arial"/>
          <w:color w:val="000000"/>
          <w:szCs w:val="23"/>
        </w:rPr>
        <w:t>CSJ</w:t>
      </w:r>
      <w:r>
        <w:rPr>
          <w:rStyle w:val="Refdenotaalpie"/>
          <w:rFonts w:ascii="Arial" w:hAnsi="Arial"/>
          <w:color w:val="000000"/>
          <w:szCs w:val="23"/>
        </w:rPr>
        <w:footnoteReference w:id="27"/>
      </w:r>
      <w:r>
        <w:rPr>
          <w:rFonts w:ascii="Arial" w:hAnsi="Arial" w:cs="Arial"/>
          <w:color w:val="000000"/>
          <w:szCs w:val="23"/>
        </w:rPr>
        <w:t xml:space="preserve">, al resolver una acción de tutela con </w:t>
      </w:r>
      <w:r>
        <w:rPr>
          <w:rFonts w:ascii="Arial" w:hAnsi="Arial"/>
        </w:rPr>
        <w:t xml:space="preserve">parámetros fácticos similares a los que dieron origen al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865982" w:rsidRPr="007F7973" w:rsidRDefault="00865982" w:rsidP="00865982">
      <w:pPr>
        <w:widowControl/>
        <w:spacing w:line="360" w:lineRule="auto"/>
        <w:jc w:val="both"/>
        <w:rPr>
          <w:rFonts w:ascii="Arial" w:hAnsi="Arial" w:cs="Arial"/>
          <w:color w:val="000000"/>
          <w:sz w:val="20"/>
          <w:szCs w:val="23"/>
        </w:rPr>
      </w:pPr>
    </w:p>
    <w:p w:rsidR="00865982" w:rsidRDefault="00865982" w:rsidP="00865982">
      <w:pPr>
        <w:pStyle w:val="Textoindependiente21"/>
        <w:tabs>
          <w:tab w:val="left" w:pos="900"/>
        </w:tabs>
        <w:spacing w:line="240" w:lineRule="auto"/>
        <w:ind w:left="567" w:right="567"/>
        <w:rPr>
          <w:rFonts w:cs="Arial"/>
          <w:sz w:val="24"/>
          <w:szCs w:val="24"/>
        </w:rPr>
      </w:pPr>
      <w:r w:rsidRPr="002671F4">
        <w:rPr>
          <w:rFonts w:cs="Arial"/>
          <w:sz w:val="24"/>
          <w:szCs w:val="24"/>
          <w:lang w:val="es-ES"/>
        </w:rPr>
        <w:t>4.</w:t>
      </w:r>
      <w:r w:rsidRPr="002671F4">
        <w:rPr>
          <w:rFonts w:cs="Arial"/>
          <w:sz w:val="24"/>
          <w:szCs w:val="24"/>
          <w:lang w:val="es-ES"/>
        </w:rPr>
        <w:tab/>
      </w:r>
      <w:r w:rsidRPr="002671F4">
        <w:rPr>
          <w:rFonts w:cs="Arial"/>
          <w:sz w:val="24"/>
          <w:szCs w:val="24"/>
        </w:rPr>
        <w:t>Empero, tampoco se advierte una actitud caprichosa en el Juzgador cuestionado, en tanto que su actuación se enmarca dentro de las normas que regulan el procedimiento de la acción popular. Nótese que cuando la Ley 472 de 1998 remite al Estatuto Procesal Civil en lo tocante a la notificación del extremo demandado (artículo 21)</w:t>
      </w:r>
      <w:r>
        <w:rPr>
          <w:rFonts w:cs="Arial"/>
          <w:sz w:val="24"/>
          <w:szCs w:val="24"/>
        </w:rPr>
        <w:t xml:space="preserve"> (…)</w:t>
      </w:r>
    </w:p>
    <w:p w:rsidR="00865982" w:rsidRPr="002671F4" w:rsidRDefault="00865982" w:rsidP="00865982">
      <w:pPr>
        <w:pStyle w:val="Textoindependiente21"/>
        <w:tabs>
          <w:tab w:val="left" w:pos="900"/>
        </w:tabs>
        <w:spacing w:line="240" w:lineRule="auto"/>
        <w:ind w:left="567" w:right="567"/>
        <w:rPr>
          <w:rFonts w:cs="Arial"/>
          <w:sz w:val="24"/>
          <w:szCs w:val="24"/>
        </w:rPr>
      </w:pPr>
      <w:r w:rsidRPr="002671F4">
        <w:rPr>
          <w:rFonts w:cs="Arial"/>
          <w:sz w:val="24"/>
          <w:szCs w:val="24"/>
        </w:rPr>
        <w:t xml:space="preserve"> </w:t>
      </w:r>
    </w:p>
    <w:p w:rsidR="00865982" w:rsidRPr="002671F4" w:rsidRDefault="00865982" w:rsidP="00865982">
      <w:pPr>
        <w:pStyle w:val="Textoindependiente21"/>
        <w:tabs>
          <w:tab w:val="left" w:pos="900"/>
        </w:tabs>
        <w:spacing w:line="240" w:lineRule="auto"/>
        <w:ind w:left="567" w:right="567"/>
        <w:rPr>
          <w:rFonts w:cs="Arial"/>
          <w:sz w:val="24"/>
          <w:szCs w:val="24"/>
          <w:lang w:val="es-MX"/>
        </w:rPr>
      </w:pPr>
      <w:r w:rsidRPr="002671F4">
        <w:rPr>
          <w:rFonts w:cs="Arial"/>
          <w:sz w:val="24"/>
          <w:szCs w:val="24"/>
          <w:u w:val="single"/>
        </w:rPr>
        <w:t>Finalmente se destaca que lo atinente a los gastos que debe asumir el actor popular constituyen una carga que no contraría el principio de la gratuidad, referido a la posibilidad de acudir ante la administración de justicia, y por ende, salvo que se hubiera concedido el amparo de pobreza</w:t>
      </w:r>
      <w:r w:rsidRPr="002671F4">
        <w:rPr>
          <w:rStyle w:val="Refdenotaalpie"/>
          <w:rFonts w:cs="Arial"/>
          <w:sz w:val="24"/>
          <w:szCs w:val="24"/>
          <w:u w:val="single"/>
        </w:rPr>
        <w:footnoteReference w:id="28"/>
      </w:r>
      <w:r w:rsidRPr="002671F4">
        <w:rPr>
          <w:rFonts w:cs="Arial"/>
          <w:sz w:val="24"/>
          <w:szCs w:val="24"/>
          <w:u w:val="single"/>
        </w:rPr>
        <w:t>, el accionante deberá sufragar los costos que demande el proceso.</w:t>
      </w:r>
      <w:r w:rsidRPr="00F33975">
        <w:rPr>
          <w:rFonts w:cs="Arial"/>
          <w:sz w:val="24"/>
          <w:szCs w:val="24"/>
        </w:rPr>
        <w:t xml:space="preserve"> </w:t>
      </w:r>
      <w:r>
        <w:rPr>
          <w:rFonts w:cs="Arial"/>
          <w:sz w:val="24"/>
          <w:szCs w:val="24"/>
        </w:rPr>
        <w:t>(</w:t>
      </w:r>
      <w:proofErr w:type="spellStart"/>
      <w:r>
        <w:rPr>
          <w:rFonts w:cs="Arial"/>
          <w:sz w:val="24"/>
          <w:szCs w:val="24"/>
        </w:rPr>
        <w:t>Sublínea</w:t>
      </w:r>
      <w:proofErr w:type="spellEnd"/>
      <w:r>
        <w:rPr>
          <w:rFonts w:cs="Arial"/>
          <w:sz w:val="24"/>
          <w:szCs w:val="24"/>
        </w:rPr>
        <w:t xml:space="preserve"> de esta Sala).</w:t>
      </w:r>
    </w:p>
    <w:p w:rsidR="00865982" w:rsidRDefault="00865982" w:rsidP="00865982">
      <w:pPr>
        <w:widowControl/>
        <w:spacing w:line="360" w:lineRule="auto"/>
        <w:jc w:val="both"/>
        <w:rPr>
          <w:rFonts w:ascii="Arial" w:hAnsi="Arial" w:cs="Arial"/>
          <w:color w:val="000000"/>
          <w:szCs w:val="23"/>
        </w:rPr>
      </w:pPr>
    </w:p>
    <w:p w:rsidR="00865982" w:rsidRDefault="00865982" w:rsidP="00865982">
      <w:pPr>
        <w:pStyle w:val="Textopredeterminado"/>
        <w:spacing w:line="360" w:lineRule="auto"/>
        <w:jc w:val="both"/>
        <w:rPr>
          <w:rFonts w:ascii="Arial" w:hAnsi="Arial" w:cs="Arial"/>
          <w:spacing w:val="3"/>
        </w:rPr>
      </w:pPr>
      <w:r>
        <w:rPr>
          <w:rFonts w:ascii="Arial" w:hAnsi="Arial"/>
          <w:szCs w:val="24"/>
        </w:rPr>
        <w:t xml:space="preserve">En suma, luce evidente que es inexistente vulneración o amenaza a los derechos invocados por el </w:t>
      </w:r>
      <w:proofErr w:type="spellStart"/>
      <w:r>
        <w:rPr>
          <w:rFonts w:ascii="Arial" w:hAnsi="Arial"/>
          <w:szCs w:val="24"/>
        </w:rPr>
        <w:t>tutelante</w:t>
      </w:r>
      <w:proofErr w:type="spellEnd"/>
      <w:r>
        <w:rPr>
          <w:rFonts w:ascii="Arial" w:hAnsi="Arial"/>
          <w:szCs w:val="24"/>
        </w:rPr>
        <w:t xml:space="preserve"> y así será declarado</w:t>
      </w:r>
      <w:r>
        <w:rPr>
          <w:rFonts w:ascii="Arial" w:hAnsi="Arial" w:cs="Arial"/>
          <w:szCs w:val="22"/>
        </w:rPr>
        <w:t xml:space="preserve">, </w:t>
      </w:r>
      <w:r>
        <w:rPr>
          <w:rFonts w:ascii="Arial" w:hAnsi="Arial" w:cs="Arial"/>
          <w:spacing w:val="-3"/>
          <w:szCs w:val="24"/>
        </w:rPr>
        <w:t>tal como se decidiera en anteriores oportunidades por esta Sala Especializada</w:t>
      </w:r>
      <w:r w:rsidRPr="003A2B28">
        <w:rPr>
          <w:rStyle w:val="Refdenotaalpie"/>
          <w:rFonts w:ascii="Arial" w:eastAsia="Yu Gothic Light" w:hAnsi="Arial"/>
          <w:szCs w:val="24"/>
        </w:rPr>
        <w:footnoteReference w:id="29"/>
      </w:r>
      <w:r>
        <w:rPr>
          <w:rFonts w:ascii="Arial" w:hAnsi="Arial" w:cs="Arial"/>
          <w:spacing w:val="-3"/>
          <w:szCs w:val="24"/>
        </w:rPr>
        <w:t xml:space="preserve">, confirmadas por </w:t>
      </w:r>
      <w:r w:rsidRPr="00A16F75">
        <w:rPr>
          <w:rFonts w:ascii="Arial" w:hAnsi="Arial" w:cs="Arial"/>
          <w:szCs w:val="24"/>
        </w:rPr>
        <w:t xml:space="preserve">la </w:t>
      </w:r>
      <w:r w:rsidR="00D24EE7">
        <w:rPr>
          <w:rFonts w:ascii="Arial" w:hAnsi="Arial" w:cs="Arial"/>
          <w:szCs w:val="24"/>
        </w:rPr>
        <w:t>CSJ</w:t>
      </w:r>
      <w:r w:rsidRPr="00A16F75">
        <w:rPr>
          <w:rStyle w:val="Refdenotaalpie"/>
          <w:rFonts w:ascii="Arial" w:hAnsi="Arial" w:cs="Arial"/>
          <w:szCs w:val="24"/>
        </w:rPr>
        <w:footnoteReference w:id="30"/>
      </w:r>
      <w:r w:rsidRPr="0026679E">
        <w:rPr>
          <w:rFonts w:ascii="Arial" w:hAnsi="Arial" w:cs="Arial"/>
          <w:spacing w:val="3"/>
        </w:rPr>
        <w:t>.</w:t>
      </w:r>
    </w:p>
    <w:p w:rsidR="003E032C" w:rsidRDefault="003E032C" w:rsidP="003E032C">
      <w:pPr>
        <w:pStyle w:val="Textoindependiente"/>
        <w:spacing w:line="360" w:lineRule="auto"/>
        <w:rPr>
          <w:rFonts w:ascii="Arial" w:hAnsi="Arial" w:cs="Arial"/>
          <w:spacing w:val="3"/>
        </w:rPr>
      </w:pPr>
    </w:p>
    <w:p w:rsidR="00AA1E03" w:rsidRPr="00927F25" w:rsidRDefault="00AA1E03" w:rsidP="00866FB0">
      <w:pPr>
        <w:pStyle w:val="Textoindependiente"/>
        <w:numPr>
          <w:ilvl w:val="1"/>
          <w:numId w:val="18"/>
        </w:numPr>
        <w:spacing w:line="360" w:lineRule="auto"/>
        <w:rPr>
          <w:rFonts w:ascii="Arial" w:hAnsi="Arial" w:cs="Arial"/>
          <w:smallCaps/>
          <w:sz w:val="26"/>
          <w:szCs w:val="26"/>
        </w:rPr>
      </w:pPr>
      <w:r w:rsidRPr="00927F25">
        <w:rPr>
          <w:rFonts w:ascii="Arial" w:hAnsi="Arial" w:cs="Arial"/>
          <w:smallCaps/>
          <w:sz w:val="26"/>
          <w:szCs w:val="26"/>
        </w:rPr>
        <w:t>La temeridad y la cosa juzgada constitucional</w:t>
      </w:r>
    </w:p>
    <w:p w:rsidR="00534D20" w:rsidRDefault="00534D20" w:rsidP="00AA1E03">
      <w:pPr>
        <w:pStyle w:val="Textoindependiente"/>
        <w:spacing w:line="360" w:lineRule="auto"/>
        <w:rPr>
          <w:rFonts w:ascii="Arial" w:hAnsi="Arial" w:cs="Arial"/>
          <w:szCs w:val="24"/>
        </w:rPr>
      </w:pPr>
    </w:p>
    <w:p w:rsidR="00AA1E03" w:rsidRPr="002128C2" w:rsidRDefault="00AA1E03" w:rsidP="00AA1E03">
      <w:pPr>
        <w:pStyle w:val="Textoindependiente"/>
        <w:spacing w:line="360" w:lineRule="auto"/>
        <w:rPr>
          <w:rFonts w:ascii="Arial" w:hAnsi="Arial" w:cs="Arial"/>
          <w:szCs w:val="24"/>
        </w:rPr>
      </w:pPr>
      <w:r w:rsidRPr="002128C2">
        <w:rPr>
          <w:rFonts w:ascii="Arial" w:hAnsi="Arial" w:cs="Arial"/>
          <w:szCs w:val="24"/>
        </w:rPr>
        <w:t xml:space="preserve">De </w:t>
      </w:r>
      <w:r w:rsidR="00534D20">
        <w:rPr>
          <w:rFonts w:ascii="Arial" w:hAnsi="Arial" w:cs="Arial"/>
          <w:szCs w:val="24"/>
        </w:rPr>
        <w:t xml:space="preserve"> </w:t>
      </w:r>
      <w:r w:rsidRPr="002128C2">
        <w:rPr>
          <w:rFonts w:ascii="Arial" w:hAnsi="Arial" w:cs="Arial"/>
          <w:szCs w:val="24"/>
        </w:rPr>
        <w:t xml:space="preserve">otro </w:t>
      </w:r>
      <w:r w:rsidR="00534D20">
        <w:rPr>
          <w:rFonts w:ascii="Arial" w:hAnsi="Arial" w:cs="Arial"/>
          <w:szCs w:val="24"/>
        </w:rPr>
        <w:t xml:space="preserve"> </w:t>
      </w:r>
      <w:r w:rsidRPr="002128C2">
        <w:rPr>
          <w:rFonts w:ascii="Arial" w:hAnsi="Arial" w:cs="Arial"/>
          <w:szCs w:val="24"/>
        </w:rPr>
        <w:t xml:space="preserve">lado, </w:t>
      </w:r>
      <w:r w:rsidR="00534D20">
        <w:rPr>
          <w:rFonts w:ascii="Arial" w:hAnsi="Arial" w:cs="Arial"/>
          <w:szCs w:val="24"/>
        </w:rPr>
        <w:t xml:space="preserve"> </w:t>
      </w:r>
      <w:r w:rsidRPr="002128C2">
        <w:rPr>
          <w:rFonts w:ascii="Arial" w:hAnsi="Arial" w:cs="Arial"/>
          <w:szCs w:val="24"/>
        </w:rPr>
        <w:t xml:space="preserve">se </w:t>
      </w:r>
      <w:r w:rsidR="00534D20">
        <w:rPr>
          <w:rFonts w:ascii="Arial" w:hAnsi="Arial" w:cs="Arial"/>
          <w:szCs w:val="24"/>
        </w:rPr>
        <w:t xml:space="preserve"> </w:t>
      </w:r>
      <w:r w:rsidRPr="002128C2">
        <w:rPr>
          <w:rFonts w:ascii="Arial" w:hAnsi="Arial" w:cs="Arial"/>
          <w:szCs w:val="24"/>
        </w:rPr>
        <w:t xml:space="preserve">duele </w:t>
      </w:r>
      <w:r w:rsidR="00534D20">
        <w:rPr>
          <w:rFonts w:ascii="Arial" w:hAnsi="Arial" w:cs="Arial"/>
          <w:szCs w:val="24"/>
        </w:rPr>
        <w:t xml:space="preserve"> </w:t>
      </w:r>
      <w:r w:rsidRPr="002128C2">
        <w:rPr>
          <w:rFonts w:ascii="Arial" w:hAnsi="Arial" w:cs="Arial"/>
          <w:szCs w:val="24"/>
        </w:rPr>
        <w:t xml:space="preserve">el </w:t>
      </w:r>
      <w:r w:rsidR="00534D20">
        <w:rPr>
          <w:rFonts w:ascii="Arial" w:hAnsi="Arial" w:cs="Arial"/>
          <w:szCs w:val="24"/>
        </w:rPr>
        <w:t xml:space="preserve"> </w:t>
      </w:r>
      <w:r w:rsidRPr="002128C2">
        <w:rPr>
          <w:rFonts w:ascii="Arial" w:hAnsi="Arial" w:cs="Arial"/>
          <w:szCs w:val="24"/>
        </w:rPr>
        <w:t xml:space="preserve">actor de la renuencia de la Defensoría del Pueblo, Regional de Caldas en la formulación a su nombre de acciones de tutela destinadas a proteger los derechos fundamentales que considera afectados en las acciones populares por él interpuestas. </w:t>
      </w:r>
    </w:p>
    <w:p w:rsidR="00AA1E03" w:rsidRPr="007B7681" w:rsidRDefault="00AA1E03" w:rsidP="00AA1E03">
      <w:pPr>
        <w:pStyle w:val="Textoindependiente"/>
        <w:spacing w:line="360" w:lineRule="auto"/>
        <w:rPr>
          <w:rFonts w:ascii="Arial" w:hAnsi="Arial" w:cs="Arial"/>
          <w:sz w:val="20"/>
          <w:szCs w:val="24"/>
        </w:rPr>
      </w:pPr>
    </w:p>
    <w:p w:rsidR="00AA1E03" w:rsidRDefault="00AA1E03" w:rsidP="00AA1E03">
      <w:pPr>
        <w:pStyle w:val="Textoindependiente"/>
        <w:spacing w:line="360" w:lineRule="auto"/>
        <w:rPr>
          <w:rFonts w:ascii="Arial" w:hAnsi="Arial"/>
          <w:b/>
          <w:szCs w:val="24"/>
          <w:lang w:val="es-ES"/>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w:t>
      </w:r>
      <w:r w:rsidR="00C16F88">
        <w:rPr>
          <w:rFonts w:ascii="Arial" w:hAnsi="Arial"/>
          <w:szCs w:val="24"/>
        </w:rPr>
        <w:t>s</w:t>
      </w:r>
      <w:r w:rsidRPr="002128C2">
        <w:rPr>
          <w:rFonts w:ascii="Arial" w:hAnsi="Arial"/>
          <w:szCs w:val="24"/>
        </w:rPr>
        <w:t xml:space="preserve"> radicada</w:t>
      </w:r>
      <w:r w:rsidR="00C16F88">
        <w:rPr>
          <w:rFonts w:ascii="Arial" w:hAnsi="Arial"/>
          <w:szCs w:val="24"/>
        </w:rPr>
        <w:t>s</w:t>
      </w:r>
      <w:r w:rsidR="000B0D03">
        <w:rPr>
          <w:rFonts w:ascii="Arial" w:hAnsi="Arial"/>
          <w:szCs w:val="24"/>
        </w:rPr>
        <w:t xml:space="preserve"> 2016-00526-00,</w:t>
      </w:r>
      <w:r w:rsidR="00C16F88">
        <w:rPr>
          <w:rFonts w:ascii="Arial" w:hAnsi="Arial"/>
          <w:szCs w:val="24"/>
        </w:rPr>
        <w:t xml:space="preserve"> </w:t>
      </w:r>
      <w:r w:rsidR="00C16F88" w:rsidRPr="00C16F88">
        <w:rPr>
          <w:rFonts w:ascii="Arial" w:hAnsi="Arial"/>
          <w:szCs w:val="24"/>
        </w:rPr>
        <w:t>2016</w:t>
      </w:r>
      <w:r w:rsidR="00C16F88">
        <w:rPr>
          <w:rFonts w:ascii="Arial" w:hAnsi="Arial"/>
          <w:szCs w:val="24"/>
        </w:rPr>
        <w:t>-</w:t>
      </w:r>
      <w:r w:rsidR="00C16F88" w:rsidRPr="00C16F88">
        <w:rPr>
          <w:rFonts w:ascii="Arial" w:hAnsi="Arial"/>
          <w:szCs w:val="24"/>
        </w:rPr>
        <w:t>00554</w:t>
      </w:r>
      <w:r w:rsidR="00C16F88">
        <w:rPr>
          <w:rFonts w:ascii="Arial" w:hAnsi="Arial"/>
          <w:szCs w:val="24"/>
        </w:rPr>
        <w:t>-00</w:t>
      </w:r>
      <w:r w:rsidR="000B0D03">
        <w:rPr>
          <w:rFonts w:ascii="Arial" w:hAnsi="Arial"/>
          <w:szCs w:val="24"/>
        </w:rPr>
        <w:t xml:space="preserve"> y 2016-00750-00</w:t>
      </w:r>
      <w:r w:rsidR="00C16F88">
        <w:rPr>
          <w:rFonts w:ascii="Arial" w:hAnsi="Arial"/>
          <w:szCs w:val="24"/>
        </w:rPr>
        <w:t xml:space="preserve"> </w:t>
      </w:r>
      <w:r w:rsidRPr="002128C2">
        <w:rPr>
          <w:rFonts w:ascii="Arial" w:hAnsi="Arial"/>
          <w:szCs w:val="24"/>
        </w:rPr>
        <w:t>con sentencia</w:t>
      </w:r>
      <w:r w:rsidR="00C16F88">
        <w:rPr>
          <w:rFonts w:ascii="Arial" w:hAnsi="Arial"/>
          <w:szCs w:val="24"/>
        </w:rPr>
        <w:t>s</w:t>
      </w:r>
      <w:r w:rsidRPr="002128C2">
        <w:rPr>
          <w:rFonts w:ascii="Arial" w:hAnsi="Arial"/>
          <w:szCs w:val="24"/>
        </w:rPr>
        <w:t xml:space="preserve"> de primera instancia </w:t>
      </w:r>
      <w:r w:rsidR="00C16F88">
        <w:rPr>
          <w:rFonts w:ascii="Arial" w:hAnsi="Arial"/>
          <w:szCs w:val="24"/>
        </w:rPr>
        <w:t xml:space="preserve">de los días </w:t>
      </w:r>
      <w:r w:rsidRPr="002128C2">
        <w:rPr>
          <w:rFonts w:ascii="Arial" w:hAnsi="Arial"/>
          <w:szCs w:val="24"/>
        </w:rPr>
        <w:t>11-05-2016</w:t>
      </w:r>
      <w:r w:rsidR="000B0D03">
        <w:rPr>
          <w:rFonts w:ascii="Arial" w:hAnsi="Arial"/>
          <w:szCs w:val="24"/>
        </w:rPr>
        <w:t xml:space="preserve">, </w:t>
      </w:r>
      <w:r w:rsidR="00C16F88">
        <w:rPr>
          <w:rFonts w:ascii="Arial" w:hAnsi="Arial"/>
          <w:szCs w:val="24"/>
        </w:rPr>
        <w:t>30-06-2016</w:t>
      </w:r>
      <w:r w:rsidR="000B0D03">
        <w:rPr>
          <w:rFonts w:ascii="Arial" w:hAnsi="Arial"/>
          <w:szCs w:val="24"/>
        </w:rPr>
        <w:t xml:space="preserve"> y 11-08-2016</w:t>
      </w:r>
      <w:r w:rsidRPr="002128C2">
        <w:rPr>
          <w:rFonts w:ascii="Arial" w:hAnsi="Arial"/>
          <w:szCs w:val="24"/>
        </w:rPr>
        <w:t>, confirmada</w:t>
      </w:r>
      <w:r w:rsidR="00C16F88">
        <w:rPr>
          <w:rFonts w:ascii="Arial" w:hAnsi="Arial"/>
          <w:szCs w:val="24"/>
        </w:rPr>
        <w:t>s</w:t>
      </w:r>
      <w:r w:rsidRPr="002128C2">
        <w:rPr>
          <w:rFonts w:ascii="Arial" w:hAnsi="Arial"/>
          <w:szCs w:val="24"/>
        </w:rPr>
        <w:t xml:space="preserve"> por la CSJ</w:t>
      </w:r>
      <w:r w:rsidR="00534D20">
        <w:rPr>
          <w:rStyle w:val="Refdenotaalpie"/>
          <w:rFonts w:ascii="Arial" w:hAnsi="Arial"/>
          <w:szCs w:val="24"/>
        </w:rPr>
        <w:footnoteReference w:id="31"/>
      </w:r>
      <w:r w:rsidR="00C16F88" w:rsidRPr="00C16F88">
        <w:rPr>
          <w:rFonts w:ascii="Arial" w:hAnsi="Arial"/>
          <w:szCs w:val="24"/>
          <w:lang w:val="es-ES"/>
        </w:rPr>
        <w:t>.</w:t>
      </w:r>
      <w:r w:rsidR="00C16F88">
        <w:rPr>
          <w:rFonts w:ascii="Arial" w:hAnsi="Arial"/>
          <w:b/>
          <w:szCs w:val="24"/>
          <w:lang w:val="es-ES"/>
        </w:rPr>
        <w:t xml:space="preserve"> </w:t>
      </w:r>
    </w:p>
    <w:p w:rsidR="00036E0E" w:rsidRPr="007B7681" w:rsidRDefault="00036E0E" w:rsidP="00AA1E03">
      <w:pPr>
        <w:pStyle w:val="Textoindependiente"/>
        <w:spacing w:line="360" w:lineRule="auto"/>
        <w:rPr>
          <w:rFonts w:ascii="Arial" w:hAnsi="Arial"/>
          <w:sz w:val="20"/>
          <w:szCs w:val="24"/>
        </w:rPr>
      </w:pPr>
    </w:p>
    <w:p w:rsidR="00AA1E03" w:rsidRDefault="00AA1E03" w:rsidP="00AA1E03">
      <w:pPr>
        <w:pStyle w:val="Textoindependiente"/>
        <w:spacing w:line="360" w:lineRule="auto"/>
        <w:rPr>
          <w:rFonts w:ascii="Arial" w:hAnsi="Arial"/>
          <w:iCs/>
          <w:szCs w:val="24"/>
        </w:rPr>
      </w:pPr>
      <w:r>
        <w:rPr>
          <w:rFonts w:ascii="Arial" w:hAnsi="Arial"/>
          <w:szCs w:val="24"/>
        </w:rPr>
        <w:lastRenderedPageBreak/>
        <w:t xml:space="preserve">Confrontados </w:t>
      </w:r>
      <w:r w:rsidR="007B7681">
        <w:rPr>
          <w:rFonts w:ascii="Arial" w:hAnsi="Arial"/>
          <w:szCs w:val="24"/>
        </w:rPr>
        <w:t xml:space="preserve">el </w:t>
      </w:r>
      <w:r>
        <w:rPr>
          <w:rFonts w:ascii="Arial" w:hAnsi="Arial"/>
          <w:szCs w:val="24"/>
        </w:rPr>
        <w:t>escrito petitorio (Folio</w:t>
      </w:r>
      <w:r w:rsidR="00534D20">
        <w:rPr>
          <w:rFonts w:ascii="Arial" w:hAnsi="Arial"/>
          <w:szCs w:val="24"/>
        </w:rPr>
        <w:t xml:space="preserve"> 1</w:t>
      </w:r>
      <w:r>
        <w:rPr>
          <w:rFonts w:ascii="Arial" w:hAnsi="Arial"/>
          <w:szCs w:val="24"/>
        </w:rPr>
        <w:t xml:space="preserve">,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r w:rsidR="00D75C31">
        <w:rPr>
          <w:rFonts w:ascii="Arial" w:hAnsi="Arial"/>
          <w:iCs/>
          <w:szCs w:val="24"/>
        </w:rPr>
        <w:t xml:space="preserve"> </w:t>
      </w:r>
    </w:p>
    <w:p w:rsidR="00D75C31" w:rsidRPr="007B7681" w:rsidRDefault="00D75C31" w:rsidP="00AA1E03">
      <w:pPr>
        <w:pStyle w:val="Textoindependiente"/>
        <w:spacing w:line="360" w:lineRule="auto"/>
        <w:rPr>
          <w:rFonts w:ascii="Arial" w:hAnsi="Arial"/>
          <w:sz w:val="20"/>
          <w:szCs w:val="24"/>
        </w:rPr>
      </w:pPr>
    </w:p>
    <w:p w:rsidR="00AA1E03" w:rsidRPr="00F2155F" w:rsidRDefault="00AA1E03" w:rsidP="00AA1E03">
      <w:pPr>
        <w:spacing w:line="360" w:lineRule="auto"/>
        <w:jc w:val="both"/>
        <w:rPr>
          <w:rFonts w:ascii="Arial" w:hAnsi="Arial"/>
        </w:rPr>
      </w:pPr>
      <w:r w:rsidRPr="00F2155F">
        <w:rPr>
          <w:rFonts w:ascii="Arial" w:hAnsi="Arial"/>
        </w:rPr>
        <w:t xml:space="preserve">Pero el análisis para declarar la existencia de la temeridad, impone que se verifique la ausencia de las siguientes situaciones, ya previstas por la </w:t>
      </w:r>
      <w:r w:rsidR="00534D20">
        <w:rPr>
          <w:rFonts w:ascii="Arial" w:hAnsi="Arial"/>
        </w:rPr>
        <w:t>CC</w:t>
      </w:r>
      <w:r w:rsidRPr="00F2155F">
        <w:rPr>
          <w:rStyle w:val="Refdenotaalpie"/>
          <w:rFonts w:ascii="Arial" w:hAnsi="Arial"/>
        </w:rPr>
        <w:footnoteReference w:id="32"/>
      </w:r>
      <w:r w:rsidRPr="00F2155F">
        <w:rPr>
          <w:rFonts w:ascii="Arial" w:hAnsi="Arial"/>
        </w:rPr>
        <w:t xml:space="preserve"> reiterada recientemente (2016)</w:t>
      </w:r>
      <w:r w:rsidRPr="00F2155F">
        <w:rPr>
          <w:rStyle w:val="Refdenotaalpie"/>
          <w:rFonts w:ascii="Arial" w:hAnsi="Arial"/>
        </w:rPr>
        <w:footnoteReference w:id="33"/>
      </w:r>
      <w:r w:rsidRPr="00F2155F">
        <w:rPr>
          <w:rFonts w:ascii="Arial" w:hAnsi="Arial"/>
        </w:rPr>
        <w:t>, así:</w:t>
      </w:r>
    </w:p>
    <w:p w:rsidR="00AA1E03" w:rsidRPr="000848B7" w:rsidRDefault="00AA1E03" w:rsidP="00AA1E03">
      <w:pPr>
        <w:ind w:left="567" w:right="567"/>
        <w:jc w:val="both"/>
        <w:rPr>
          <w:rFonts w:ascii="Arial" w:hAnsi="Arial" w:cs="Arial"/>
          <w:b/>
          <w:bCs/>
          <w:sz w:val="2"/>
          <w:szCs w:val="22"/>
        </w:rPr>
      </w:pPr>
    </w:p>
    <w:p w:rsidR="00AA1E03" w:rsidRPr="00D54497" w:rsidRDefault="00AA1E03" w:rsidP="00AA1E03">
      <w:pPr>
        <w:ind w:left="567" w:right="567"/>
        <w:jc w:val="both"/>
        <w:rPr>
          <w:rFonts w:ascii="Arial" w:hAnsi="Arial" w:cs="Arial"/>
          <w:b/>
          <w:bCs/>
          <w:sz w:val="22"/>
        </w:rPr>
      </w:pPr>
    </w:p>
    <w:p w:rsidR="00AA1E03" w:rsidRPr="00F2155F" w:rsidRDefault="00AA1E03" w:rsidP="00AA1E03">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34"/>
      </w:r>
      <w:r w:rsidRPr="00F2155F">
        <w:rPr>
          <w:rFonts w:ascii="Arial" w:hAnsi="Arial" w:cs="Arial"/>
        </w:rPr>
        <w:t>-,  para sancionar pecuniariamente a los responsables</w:t>
      </w:r>
      <w:r w:rsidRPr="00F2155F">
        <w:rPr>
          <w:rStyle w:val="Refdenotaalpie"/>
          <w:rFonts w:ascii="Arial" w:hAnsi="Arial" w:cs="Arial"/>
        </w:rPr>
        <w:footnoteReference w:id="35"/>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36"/>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37"/>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38"/>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39"/>
      </w:r>
      <w:r w:rsidRPr="00F2155F">
        <w:rPr>
          <w:rFonts w:ascii="Arial" w:hAnsi="Arial" w:cs="Arial"/>
          <w:i/>
          <w:iCs/>
        </w:rPr>
        <w:t>.</w:t>
      </w:r>
      <w:r w:rsidRPr="00F2155F">
        <w:rPr>
          <w:rFonts w:ascii="Arial" w:hAnsi="Arial" w:cs="Arial"/>
          <w:iCs/>
        </w:rPr>
        <w:t xml:space="preserve">  El resaltado es propio de esta Colegiatura.</w:t>
      </w:r>
    </w:p>
    <w:p w:rsidR="00D75C31" w:rsidRDefault="00D75C31" w:rsidP="00AA1E03">
      <w:pPr>
        <w:spacing w:line="360" w:lineRule="auto"/>
        <w:ind w:right="51"/>
        <w:jc w:val="both"/>
        <w:rPr>
          <w:rFonts w:ascii="Arial" w:hAnsi="Arial"/>
        </w:rPr>
      </w:pPr>
    </w:p>
    <w:p w:rsidR="00AA1E03" w:rsidRPr="00F2155F" w:rsidRDefault="00AA1E03" w:rsidP="00AA1E03">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AA1E03" w:rsidRPr="007B7681" w:rsidRDefault="00AA1E03" w:rsidP="00AA1E03">
      <w:pPr>
        <w:pStyle w:val="Textoindependiente"/>
        <w:spacing w:line="360" w:lineRule="auto"/>
        <w:rPr>
          <w:rFonts w:ascii="Arial" w:hAnsi="Arial" w:cs="Arial"/>
          <w:sz w:val="20"/>
          <w:szCs w:val="24"/>
        </w:rPr>
      </w:pPr>
    </w:p>
    <w:p w:rsidR="00AA1E03" w:rsidRPr="00104D5D" w:rsidRDefault="00AA1E03" w:rsidP="00AA1E03">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40"/>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w:t>
      </w:r>
      <w:r w:rsidRPr="00F2155F">
        <w:rPr>
          <w:rFonts w:ascii="Arial" w:hAnsi="Arial" w:cs="Arial"/>
          <w:i/>
          <w:sz w:val="22"/>
        </w:rPr>
        <w:lastRenderedPageBreak/>
        <w:t xml:space="preserve">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41"/>
      </w:r>
      <w:r>
        <w:rPr>
          <w:rFonts w:ascii="Arial" w:hAnsi="Arial" w:cs="Arial"/>
        </w:rPr>
        <w:t xml:space="preserve"> comparte en su jurisprudencia. También precedente horizontal de esta Corporación</w:t>
      </w:r>
      <w:r>
        <w:rPr>
          <w:rStyle w:val="Refdenotaalpie"/>
          <w:rFonts w:ascii="Arial" w:hAnsi="Arial"/>
        </w:rPr>
        <w:footnoteReference w:id="42"/>
      </w:r>
      <w:r>
        <w:rPr>
          <w:rFonts w:ascii="Arial" w:hAnsi="Arial" w:cs="Arial"/>
          <w:vertAlign w:val="superscript"/>
        </w:rPr>
        <w:t>-</w:t>
      </w:r>
      <w:r>
        <w:rPr>
          <w:rStyle w:val="Refdenotaalpie"/>
          <w:rFonts w:ascii="Arial" w:hAnsi="Arial"/>
        </w:rPr>
        <w:footnoteReference w:id="43"/>
      </w:r>
      <w:r>
        <w:rPr>
          <w:rFonts w:ascii="Arial" w:hAnsi="Arial" w:cs="Arial"/>
        </w:rPr>
        <w:t xml:space="preserve">. </w:t>
      </w:r>
    </w:p>
    <w:p w:rsidR="00AA1E03" w:rsidRPr="007B7681" w:rsidRDefault="00AA1E03" w:rsidP="00AA1E03">
      <w:pPr>
        <w:pStyle w:val="Textopredeterminado"/>
        <w:spacing w:line="360" w:lineRule="auto"/>
        <w:jc w:val="both"/>
        <w:rPr>
          <w:rFonts w:ascii="Arial" w:hAnsi="Arial" w:cs="Arial"/>
          <w:color w:val="auto"/>
          <w:spacing w:val="-3"/>
          <w:sz w:val="20"/>
          <w:szCs w:val="24"/>
          <w:lang w:val="es-ES_tradnl"/>
        </w:rPr>
      </w:pPr>
    </w:p>
    <w:p w:rsidR="00AA1E03" w:rsidRDefault="00AA1E03" w:rsidP="00AA1E03">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w:t>
      </w:r>
      <w:r w:rsidR="00534D20">
        <w:rPr>
          <w:rFonts w:ascii="Arial" w:hAnsi="Arial" w:cs="Arial"/>
        </w:rPr>
        <w:t>26</w:t>
      </w:r>
      <w:r w:rsidR="00256833">
        <w:rPr>
          <w:rFonts w:ascii="Arial" w:hAnsi="Arial" w:cs="Arial"/>
        </w:rPr>
        <w:t>-10-</w:t>
      </w:r>
      <w:r>
        <w:rPr>
          <w:rFonts w:ascii="Arial" w:hAnsi="Arial" w:cs="Arial"/>
        </w:rPr>
        <w:t xml:space="preserve">2016 </w:t>
      </w:r>
      <w:r>
        <w:rPr>
          <w:rFonts w:ascii="Arial" w:hAnsi="Arial" w:cs="Arial"/>
          <w:iCs/>
          <w:color w:val="000000"/>
          <w:lang w:eastAsia="es-CO"/>
        </w:rPr>
        <w:t xml:space="preserve">(Folios </w:t>
      </w:r>
      <w:r w:rsidR="00534D20">
        <w:rPr>
          <w:rFonts w:ascii="Arial" w:hAnsi="Arial" w:cs="Arial"/>
          <w:iCs/>
          <w:color w:val="000000"/>
          <w:lang w:eastAsia="es-CO"/>
        </w:rPr>
        <w:t>4 y 5</w:t>
      </w:r>
      <w:r>
        <w:rPr>
          <w:rFonts w:ascii="Arial" w:hAnsi="Arial" w:cs="Arial"/>
          <w:iCs/>
          <w:color w:val="000000"/>
          <w:lang w:eastAsia="es-CO"/>
        </w:rPr>
        <w:t>, ib.)</w:t>
      </w:r>
      <w:r>
        <w:rPr>
          <w:rFonts w:ascii="Arial" w:hAnsi="Arial" w:cs="Arial"/>
        </w:rPr>
        <w:t xml:space="preserve">, en el sentido de escanearlas y remitirlas a su correo electrónico, se cumplió dicho pedimento. </w:t>
      </w:r>
    </w:p>
    <w:p w:rsidR="001D69AE" w:rsidRPr="007B7681" w:rsidRDefault="001D69AE" w:rsidP="00EA7B29">
      <w:pPr>
        <w:spacing w:line="360" w:lineRule="auto"/>
        <w:ind w:right="51"/>
        <w:jc w:val="both"/>
        <w:rPr>
          <w:rFonts w:ascii="Arial" w:hAnsi="Arial"/>
          <w:sz w:val="20"/>
          <w:lang w:val="es-CO"/>
        </w:rPr>
      </w:pPr>
    </w:p>
    <w:p w:rsidR="00FF5B57" w:rsidRPr="007B7681" w:rsidRDefault="007B7681" w:rsidP="00FF5B57">
      <w:pPr>
        <w:pStyle w:val="Textoindependien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6159AF" w:rsidRPr="007B7681" w:rsidRDefault="006159AF" w:rsidP="006159AF">
      <w:pPr>
        <w:pStyle w:val="Textoindependiente"/>
        <w:spacing w:line="360" w:lineRule="auto"/>
        <w:ind w:left="400"/>
        <w:rPr>
          <w:rFonts w:ascii="Arial" w:hAnsi="Arial"/>
          <w:sz w:val="20"/>
          <w:szCs w:val="24"/>
        </w:rPr>
      </w:pPr>
    </w:p>
    <w:p w:rsidR="00CB3037" w:rsidRDefault="00CB3037" w:rsidP="00D75C3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E5C81">
        <w:rPr>
          <w:rFonts w:ascii="Arial" w:hAnsi="Arial" w:cs="Arial"/>
        </w:rPr>
        <w:t>negará</w:t>
      </w:r>
      <w:r w:rsidR="00D75C31">
        <w:rPr>
          <w:rFonts w:ascii="Arial" w:hAnsi="Arial" w:cs="Arial"/>
        </w:rPr>
        <w:t xml:space="preserve"> </w:t>
      </w:r>
      <w:r w:rsidR="007B7681">
        <w:rPr>
          <w:rFonts w:ascii="Arial" w:hAnsi="Arial" w:cs="Arial"/>
        </w:rPr>
        <w:t xml:space="preserve">el </w:t>
      </w:r>
      <w:r w:rsidR="00D75C31">
        <w:rPr>
          <w:rFonts w:ascii="Arial" w:hAnsi="Arial" w:cs="Arial"/>
        </w:rPr>
        <w:t xml:space="preserve">amparo constitucional frente al Juzgado </w:t>
      </w:r>
      <w:r w:rsidR="004670DA">
        <w:rPr>
          <w:rFonts w:ascii="Arial" w:hAnsi="Arial" w:cs="Arial"/>
        </w:rPr>
        <w:t>Tercero</w:t>
      </w:r>
      <w:r w:rsidR="00D75C31">
        <w:rPr>
          <w:rFonts w:ascii="Arial" w:hAnsi="Arial" w:cs="Arial"/>
        </w:rPr>
        <w:t xml:space="preserve"> Civil del Circuito de Pereira</w:t>
      </w:r>
      <w:r w:rsidR="00443C1C">
        <w:rPr>
          <w:rFonts w:ascii="Arial" w:hAnsi="Arial" w:cs="Arial"/>
        </w:rPr>
        <w:t xml:space="preserve">, </w:t>
      </w:r>
      <w:r w:rsidR="00D75C31">
        <w:rPr>
          <w:rFonts w:ascii="Arial" w:hAnsi="Arial" w:cs="Arial"/>
        </w:rPr>
        <w:t>por inexistencia de vulneración o amenaza</w:t>
      </w:r>
      <w:r w:rsidR="00394495">
        <w:rPr>
          <w:rFonts w:ascii="Arial" w:hAnsi="Arial" w:cs="Arial"/>
        </w:rPr>
        <w:t xml:space="preserve"> a los derechos fundamentales invocados</w:t>
      </w:r>
      <w:r w:rsidR="00D75C31">
        <w:rPr>
          <w:rFonts w:ascii="Arial" w:hAnsi="Arial" w:cs="Arial"/>
        </w:rPr>
        <w:t xml:space="preserve">; </w:t>
      </w:r>
      <w:r w:rsidR="007B7681">
        <w:rPr>
          <w:rFonts w:ascii="Arial" w:hAnsi="Arial" w:cs="Arial"/>
        </w:rPr>
        <w:t xml:space="preserve">(ii) </w:t>
      </w:r>
      <w:r w:rsidR="00D75C31">
        <w:rPr>
          <w:rFonts w:ascii="Arial" w:hAnsi="Arial" w:cs="Arial"/>
        </w:rPr>
        <w:t>Se declarará</w:t>
      </w:r>
      <w:r w:rsidR="00394B4A">
        <w:rPr>
          <w:rFonts w:ascii="Arial" w:hAnsi="Arial" w:cs="Arial"/>
        </w:rPr>
        <w:t>n</w:t>
      </w:r>
      <w:r w:rsidR="00D75C31">
        <w:rPr>
          <w:rFonts w:ascii="Arial" w:hAnsi="Arial" w:cs="Arial"/>
        </w:rPr>
        <w:t xml:space="preserve"> improcedente</w:t>
      </w:r>
      <w:r w:rsidR="00394B4A">
        <w:rPr>
          <w:rFonts w:ascii="Arial" w:hAnsi="Arial" w:cs="Arial"/>
        </w:rPr>
        <w:t>s</w:t>
      </w:r>
      <w:r w:rsidR="00D75C31">
        <w:rPr>
          <w:rFonts w:ascii="Arial" w:hAnsi="Arial" w:cs="Arial"/>
        </w:rPr>
        <w:t xml:space="preserve"> respecto de la Defensoría del Pueblo, Regional Caldas </w:t>
      </w:r>
      <w:r w:rsidR="00D75C31" w:rsidRPr="002128C2">
        <w:rPr>
          <w:rFonts w:ascii="Arial" w:hAnsi="Arial"/>
        </w:rPr>
        <w:t>por haberse verificado la duplicidad de la acciones de tutela, sin que haya lugar a imponer multa, según se anotó</w:t>
      </w:r>
      <w:r w:rsidR="009102BF">
        <w:rPr>
          <w:rFonts w:ascii="Arial" w:hAnsi="Arial" w:cs="Arial"/>
        </w:rPr>
        <w:t>;</w:t>
      </w:r>
      <w:r w:rsidR="00C16F88">
        <w:rPr>
          <w:rFonts w:ascii="Arial" w:hAnsi="Arial" w:cs="Arial"/>
        </w:rPr>
        <w:t xml:space="preserve"> y,</w:t>
      </w:r>
      <w:r w:rsidR="009102BF">
        <w:rPr>
          <w:rFonts w:ascii="Arial" w:hAnsi="Arial" w:cs="Arial"/>
        </w:rPr>
        <w:t xml:space="preserve"> (</w:t>
      </w:r>
      <w:r w:rsidR="00534D20">
        <w:rPr>
          <w:rFonts w:ascii="Arial" w:hAnsi="Arial" w:cs="Arial"/>
        </w:rPr>
        <w:t>iii</w:t>
      </w:r>
      <w:r w:rsidR="009102BF">
        <w:rPr>
          <w:rFonts w:ascii="Arial" w:hAnsi="Arial" w:cs="Arial"/>
        </w:rPr>
        <w:t>)</w:t>
      </w:r>
      <w:r>
        <w:rPr>
          <w:rFonts w:ascii="Arial" w:hAnsi="Arial" w:cs="Arial"/>
        </w:rPr>
        <w:t xml:space="preserve"> </w:t>
      </w:r>
      <w:r w:rsidR="00D75C31" w:rsidRPr="00E538DC">
        <w:rPr>
          <w:rFonts w:ascii="Arial" w:hAnsi="Arial" w:cs="Arial"/>
        </w:rPr>
        <w:t>Se declarará</w:t>
      </w:r>
      <w:r w:rsidR="00394B4A">
        <w:rPr>
          <w:rFonts w:ascii="Arial" w:hAnsi="Arial" w:cs="Arial"/>
        </w:rPr>
        <w:t>n</w:t>
      </w:r>
      <w:r w:rsidR="00D75C31" w:rsidRPr="00E538DC">
        <w:rPr>
          <w:rFonts w:ascii="Arial" w:hAnsi="Arial" w:cs="Arial"/>
        </w:rPr>
        <w:t xml:space="preserve"> improcedente</w:t>
      </w:r>
      <w:r w:rsidR="00394B4A">
        <w:rPr>
          <w:rFonts w:ascii="Arial" w:hAnsi="Arial" w:cs="Arial"/>
        </w:rPr>
        <w:t>s</w:t>
      </w:r>
      <w:r w:rsidR="00D75C31" w:rsidRPr="00E538DC">
        <w:rPr>
          <w:rFonts w:ascii="Arial" w:hAnsi="Arial" w:cs="Arial"/>
        </w:rPr>
        <w:t xml:space="preserve"> con relación </w:t>
      </w:r>
      <w:r w:rsidR="00534D20" w:rsidRPr="00E03A42">
        <w:rPr>
          <w:rFonts w:ascii="Arial" w:hAnsi="Arial" w:cs="Arial"/>
          <w:spacing w:val="3"/>
          <w:lang w:val="es-CO"/>
        </w:rPr>
        <w:t>a la Procuraduría, Regional de Cundinamarca, a la Defensoría del Pueblo, Regional de Bogotá DC, y, a la Alcaldía</w:t>
      </w:r>
      <w:r w:rsidR="00534D20">
        <w:rPr>
          <w:rFonts w:ascii="Arial" w:hAnsi="Arial" w:cs="Arial"/>
          <w:spacing w:val="3"/>
          <w:lang w:val="es-CO"/>
        </w:rPr>
        <w:t xml:space="preserve"> y a la Personería de Bogotá DC</w:t>
      </w:r>
      <w:r w:rsidR="00D75C31">
        <w:rPr>
          <w:rFonts w:ascii="Arial" w:hAnsi="Arial" w:cs="Arial"/>
        </w:rPr>
        <w:t xml:space="preserve">, por carecer de legitimación.  </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534D20" w:rsidRDefault="00534D20" w:rsidP="00FF5B57">
      <w:pPr>
        <w:pStyle w:val="Textoindependiente"/>
        <w:spacing w:line="360" w:lineRule="auto"/>
        <w:jc w:val="center"/>
        <w:rPr>
          <w:rFonts w:ascii="Arial" w:hAnsi="Arial" w:cs="Arial"/>
          <w:bCs/>
          <w:smallCaps/>
          <w:szCs w:val="24"/>
        </w:rPr>
      </w:pPr>
    </w:p>
    <w:p w:rsidR="002C127D" w:rsidRPr="002C127D" w:rsidRDefault="002C127D" w:rsidP="002C1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w:t>
      </w:r>
      <w:r w:rsidRPr="002C127D">
        <w:rPr>
          <w:rFonts w:ascii="Arial" w:hAnsi="Arial" w:cs="Arial"/>
        </w:rPr>
        <w:t xml:space="preserve">EGAR </w:t>
      </w:r>
      <w:r>
        <w:rPr>
          <w:rFonts w:ascii="Arial" w:hAnsi="Arial" w:cs="Arial"/>
          <w:lang w:val="es-CO"/>
        </w:rPr>
        <w:t xml:space="preserve">la </w:t>
      </w:r>
      <w:r w:rsidRPr="002C127D">
        <w:rPr>
          <w:rFonts w:ascii="Arial" w:hAnsi="Arial" w:cs="Arial"/>
          <w:lang w:val="es-CO"/>
        </w:rPr>
        <w:t xml:space="preserve">tutela propuesta por el señor Javier Elías Arias </w:t>
      </w:r>
      <w:proofErr w:type="spellStart"/>
      <w:r w:rsidRPr="002C127D">
        <w:rPr>
          <w:rFonts w:ascii="Arial" w:hAnsi="Arial" w:cs="Arial"/>
          <w:lang w:val="es-CO"/>
        </w:rPr>
        <w:t>Idárraga</w:t>
      </w:r>
      <w:proofErr w:type="spellEnd"/>
      <w:r w:rsidRPr="002C127D">
        <w:rPr>
          <w:rFonts w:ascii="Arial" w:hAnsi="Arial" w:cs="Arial"/>
          <w:lang w:val="es-CO"/>
        </w:rPr>
        <w:t xml:space="preserve"> contra el Juzgado </w:t>
      </w:r>
      <w:r>
        <w:rPr>
          <w:rFonts w:ascii="Arial" w:hAnsi="Arial" w:cs="Arial"/>
          <w:lang w:val="es-CO"/>
        </w:rPr>
        <w:t xml:space="preserve">Tercero </w:t>
      </w:r>
      <w:r w:rsidRPr="002C127D">
        <w:rPr>
          <w:rFonts w:ascii="Arial" w:hAnsi="Arial" w:cs="Arial"/>
          <w:lang w:val="es-CO"/>
        </w:rPr>
        <w:t>Civil del Circuito de Pereira</w:t>
      </w:r>
      <w:r w:rsidRPr="002C127D">
        <w:rPr>
          <w:rFonts w:ascii="Arial" w:hAnsi="Arial" w:cs="Arial"/>
        </w:rPr>
        <w:t>.</w:t>
      </w:r>
    </w:p>
    <w:p w:rsidR="002C127D" w:rsidRPr="002C127D" w:rsidRDefault="002C127D" w:rsidP="002C127D">
      <w:pPr>
        <w:pStyle w:val="Textoindependiente"/>
        <w:tabs>
          <w:tab w:val="clear" w:pos="708"/>
        </w:tabs>
        <w:spacing w:line="360" w:lineRule="auto"/>
        <w:ind w:left="360"/>
        <w:textAlignment w:val="auto"/>
        <w:rPr>
          <w:rFonts w:ascii="Arial" w:hAnsi="Arial" w:cs="Arial"/>
          <w:szCs w:val="24"/>
        </w:rPr>
      </w:pPr>
    </w:p>
    <w:p w:rsidR="009102BF" w:rsidRDefault="00AA4EC8"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 xml:space="preserve">DECLARAR improcedente </w:t>
      </w:r>
      <w:r w:rsidR="002C127D">
        <w:rPr>
          <w:rFonts w:ascii="Arial" w:hAnsi="Arial" w:cs="Arial"/>
          <w:szCs w:val="24"/>
        </w:rPr>
        <w:t xml:space="preserve">el </w:t>
      </w:r>
      <w:r>
        <w:rPr>
          <w:rFonts w:ascii="Arial" w:hAnsi="Arial" w:cs="Arial"/>
          <w:szCs w:val="24"/>
        </w:rPr>
        <w:t xml:space="preserve">amparo constitucional </w:t>
      </w:r>
      <w:r w:rsidR="009102BF">
        <w:rPr>
          <w:rFonts w:ascii="Arial" w:hAnsi="Arial" w:cs="Arial"/>
          <w:szCs w:val="24"/>
        </w:rPr>
        <w:t>frente</w:t>
      </w:r>
      <w:r w:rsidR="002C127D">
        <w:rPr>
          <w:rFonts w:ascii="Arial" w:hAnsi="Arial" w:cs="Arial"/>
          <w:szCs w:val="24"/>
        </w:rPr>
        <w:t xml:space="preserve"> </w:t>
      </w:r>
      <w:r w:rsidR="00F8430A">
        <w:rPr>
          <w:rFonts w:ascii="Arial" w:hAnsi="Arial" w:cs="Arial"/>
          <w:szCs w:val="24"/>
        </w:rPr>
        <w:t xml:space="preserve">a la </w:t>
      </w:r>
      <w:r>
        <w:rPr>
          <w:rFonts w:ascii="Arial" w:hAnsi="Arial" w:cs="Arial"/>
          <w:szCs w:val="24"/>
        </w:rPr>
        <w:t xml:space="preserve">Defensoría del Pueblo, Regional </w:t>
      </w:r>
      <w:r w:rsidR="003D08FD">
        <w:rPr>
          <w:rFonts w:ascii="Arial" w:hAnsi="Arial" w:cs="Arial"/>
          <w:szCs w:val="24"/>
        </w:rPr>
        <w:t>Caldas</w:t>
      </w:r>
      <w:r>
        <w:rPr>
          <w:rFonts w:ascii="Arial" w:hAnsi="Arial" w:cs="Arial"/>
          <w:szCs w:val="24"/>
        </w:rPr>
        <w:t xml:space="preserve">; a </w:t>
      </w:r>
      <w:r w:rsidR="00534D20" w:rsidRPr="00E03A42">
        <w:rPr>
          <w:rFonts w:ascii="Arial" w:hAnsi="Arial" w:cs="Arial"/>
          <w:spacing w:val="3"/>
          <w:lang w:val="es-CO"/>
        </w:rPr>
        <w:t>la Procuraduría, Regional de Cundinamarca, a la Defensoría del Pueblo, Regional de Bogotá DC, y, a la Alcaldía y a la Personería de Bogotá DC.</w:t>
      </w:r>
    </w:p>
    <w:p w:rsidR="007657D5" w:rsidRPr="001E5C81"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lastRenderedPageBreak/>
        <w:t>REMITIR este expediente, a la Corte Constitucional para su eventual revisión, de no ser impugnada.</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6B3E9D" w:rsidRDefault="00126266" w:rsidP="00126266">
      <w:pPr>
        <w:pStyle w:val="Textoindependiente"/>
        <w:spacing w:line="360" w:lineRule="auto"/>
        <w:jc w:val="center"/>
        <w:rPr>
          <w:rFonts w:ascii="Arial" w:hAnsi="Arial"/>
          <w:smallCaps/>
          <w:szCs w:val="24"/>
          <w:lang w:val="en-GB"/>
        </w:rPr>
      </w:pPr>
      <w:proofErr w:type="spellStart"/>
      <w:r w:rsidRPr="006B3E9D">
        <w:rPr>
          <w:rFonts w:ascii="Arial" w:hAnsi="Arial"/>
          <w:smallCaps/>
          <w:szCs w:val="24"/>
          <w:lang w:val="en-GB"/>
        </w:rPr>
        <w:t>Notifíquese</w:t>
      </w:r>
      <w:proofErr w:type="spellEnd"/>
      <w:r w:rsidRPr="006B3E9D">
        <w:rPr>
          <w:rFonts w:ascii="Arial" w:hAnsi="Arial"/>
          <w:smallCaps/>
          <w:szCs w:val="24"/>
          <w:lang w:val="en-GB"/>
        </w:rPr>
        <w:t>,</w:t>
      </w:r>
    </w:p>
    <w:p w:rsidR="00DA569C" w:rsidRPr="006B3E9D" w:rsidRDefault="00DA569C" w:rsidP="00417DA5">
      <w:pPr>
        <w:pStyle w:val="Textoindependiente"/>
        <w:spacing w:line="360" w:lineRule="auto"/>
        <w:jc w:val="center"/>
        <w:rPr>
          <w:rFonts w:ascii="Arial" w:hAnsi="Arial"/>
          <w:sz w:val="22"/>
          <w:szCs w:val="24"/>
          <w:lang w:val="en-GB"/>
        </w:rPr>
      </w:pPr>
    </w:p>
    <w:p w:rsidR="003E66CE" w:rsidRPr="006B3E9D" w:rsidRDefault="003E66CE" w:rsidP="00417DA5">
      <w:pPr>
        <w:pStyle w:val="Textoindependiente"/>
        <w:spacing w:line="360" w:lineRule="auto"/>
        <w:jc w:val="center"/>
        <w:rPr>
          <w:rFonts w:ascii="Arial" w:hAnsi="Arial"/>
          <w:sz w:val="22"/>
          <w:szCs w:val="24"/>
          <w:lang w:val="en-GB"/>
        </w:rPr>
      </w:pPr>
    </w:p>
    <w:p w:rsidR="00B30152" w:rsidRPr="006B3E9D" w:rsidRDefault="00B30152" w:rsidP="00417DA5">
      <w:pPr>
        <w:pStyle w:val="Textoindependiente"/>
        <w:spacing w:line="360" w:lineRule="auto"/>
        <w:jc w:val="center"/>
        <w:rPr>
          <w:rFonts w:ascii="Arial" w:hAnsi="Arial"/>
          <w:sz w:val="22"/>
          <w:szCs w:val="24"/>
          <w:lang w:val="en-GB"/>
        </w:rPr>
      </w:pPr>
    </w:p>
    <w:p w:rsidR="00951517" w:rsidRPr="006B3E9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6B3E9D">
        <w:rPr>
          <w:rFonts w:ascii="Arial" w:hAnsi="Arial" w:cs="Arial"/>
          <w:i/>
          <w:spacing w:val="-3"/>
          <w:w w:val="150"/>
          <w:sz w:val="28"/>
          <w:lang w:val="en-GB"/>
        </w:rPr>
        <w:t>D</w:t>
      </w:r>
      <w:r w:rsidRPr="006B3E9D">
        <w:rPr>
          <w:rFonts w:ascii="Arial" w:hAnsi="Arial" w:cs="Arial"/>
          <w:i/>
          <w:spacing w:val="-3"/>
          <w:w w:val="150"/>
          <w:sz w:val="18"/>
          <w:szCs w:val="16"/>
          <w:lang w:val="en-GB"/>
        </w:rPr>
        <w:t>UBERNEY</w:t>
      </w:r>
      <w:proofErr w:type="spellEnd"/>
      <w:r w:rsidRPr="006B3E9D">
        <w:rPr>
          <w:rFonts w:ascii="Arial" w:hAnsi="Arial" w:cs="Arial"/>
          <w:i/>
          <w:spacing w:val="-3"/>
          <w:w w:val="150"/>
          <w:sz w:val="18"/>
          <w:szCs w:val="16"/>
          <w:lang w:val="en-GB"/>
        </w:rPr>
        <w:t xml:space="preserve"> </w:t>
      </w:r>
      <w:proofErr w:type="spellStart"/>
      <w:r w:rsidRPr="006B3E9D">
        <w:rPr>
          <w:rFonts w:ascii="Arial" w:hAnsi="Arial" w:cs="Arial"/>
          <w:i/>
          <w:spacing w:val="-3"/>
          <w:w w:val="150"/>
          <w:sz w:val="28"/>
          <w:lang w:val="en-GB"/>
        </w:rPr>
        <w:t>G</w:t>
      </w:r>
      <w:r w:rsidRPr="006B3E9D">
        <w:rPr>
          <w:rFonts w:ascii="Arial" w:hAnsi="Arial" w:cs="Arial"/>
          <w:i/>
          <w:spacing w:val="-3"/>
          <w:w w:val="150"/>
          <w:sz w:val="18"/>
          <w:szCs w:val="16"/>
          <w:lang w:val="en-GB"/>
        </w:rPr>
        <w:t>RISALES</w:t>
      </w:r>
      <w:proofErr w:type="spellEnd"/>
      <w:r w:rsidRPr="006B3E9D">
        <w:rPr>
          <w:rFonts w:ascii="Arial" w:hAnsi="Arial" w:cs="Arial"/>
          <w:i/>
          <w:spacing w:val="-3"/>
          <w:w w:val="150"/>
          <w:sz w:val="18"/>
          <w:szCs w:val="16"/>
          <w:lang w:val="en-GB"/>
        </w:rPr>
        <w:t xml:space="preserve"> </w:t>
      </w:r>
      <w:r w:rsidRPr="006B3E9D">
        <w:rPr>
          <w:rFonts w:ascii="Arial" w:hAnsi="Arial" w:cs="Arial"/>
          <w:i/>
          <w:spacing w:val="-3"/>
          <w:w w:val="150"/>
          <w:sz w:val="28"/>
          <w:lang w:val="en-GB"/>
        </w:rPr>
        <w:t>H</w:t>
      </w:r>
      <w:r w:rsidRPr="006B3E9D">
        <w:rPr>
          <w:rFonts w:ascii="Arial" w:hAnsi="Arial" w:cs="Arial"/>
          <w:i/>
          <w:spacing w:val="-3"/>
          <w:w w:val="150"/>
          <w:sz w:val="18"/>
          <w:szCs w:val="16"/>
          <w:lang w:val="en-GB"/>
        </w:rPr>
        <w:t>ERRERA</w:t>
      </w:r>
    </w:p>
    <w:p w:rsidR="00951517" w:rsidRPr="006B3E9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GB"/>
        </w:rPr>
      </w:pPr>
      <w:r w:rsidRPr="006B3E9D">
        <w:rPr>
          <w:rFonts w:ascii="Arial" w:hAnsi="Arial" w:cs="Arial"/>
          <w:i/>
          <w:spacing w:val="-3"/>
          <w:w w:val="150"/>
          <w:sz w:val="28"/>
          <w:lang w:val="en-GB"/>
        </w:rPr>
        <w:t>M</w:t>
      </w:r>
      <w:r w:rsidRPr="006B3E9D">
        <w:rPr>
          <w:rFonts w:ascii="Arial" w:hAnsi="Arial" w:cs="Arial"/>
          <w:i/>
          <w:spacing w:val="-3"/>
          <w:w w:val="150"/>
          <w:lang w:val="en-GB"/>
        </w:rPr>
        <w:t xml:space="preserve"> </w:t>
      </w:r>
      <w:r w:rsidRPr="006B3E9D">
        <w:rPr>
          <w:rFonts w:ascii="Arial" w:hAnsi="Arial" w:cs="Arial"/>
          <w:i/>
          <w:spacing w:val="-3"/>
          <w:w w:val="150"/>
          <w:sz w:val="18"/>
          <w:szCs w:val="20"/>
          <w:lang w:val="en-GB"/>
        </w:rPr>
        <w:t>A G I S T R A D O</w:t>
      </w:r>
    </w:p>
    <w:p w:rsidR="00C136DB" w:rsidRPr="006B3E9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GB"/>
        </w:rPr>
      </w:pPr>
    </w:p>
    <w:p w:rsidR="005C4C0F" w:rsidRPr="006B3E9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GB"/>
        </w:rPr>
      </w:pPr>
    </w:p>
    <w:p w:rsidR="005C4C0F" w:rsidRPr="006B3E9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GB"/>
        </w:rPr>
      </w:pPr>
    </w:p>
    <w:p w:rsidR="00951517" w:rsidRPr="006B3E9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proofErr w:type="spellStart"/>
      <w:r w:rsidRPr="006B3E9D">
        <w:rPr>
          <w:rFonts w:ascii="Arial" w:hAnsi="Arial"/>
          <w:i/>
          <w:w w:val="150"/>
          <w:sz w:val="28"/>
          <w:szCs w:val="18"/>
          <w:lang w:val="en-GB"/>
        </w:rPr>
        <w:t>E</w:t>
      </w:r>
      <w:r w:rsidRPr="006B3E9D">
        <w:rPr>
          <w:rFonts w:ascii="Arial" w:hAnsi="Arial"/>
          <w:i/>
          <w:w w:val="150"/>
          <w:sz w:val="18"/>
          <w:szCs w:val="18"/>
          <w:lang w:val="en-GB"/>
        </w:rPr>
        <w:t>DDER</w:t>
      </w:r>
      <w:proofErr w:type="spellEnd"/>
      <w:r w:rsidRPr="006B3E9D">
        <w:rPr>
          <w:rFonts w:ascii="Arial" w:hAnsi="Arial"/>
          <w:i/>
          <w:w w:val="150"/>
          <w:sz w:val="18"/>
          <w:lang w:val="en-GB"/>
        </w:rPr>
        <w:t xml:space="preserve"> </w:t>
      </w:r>
      <w:r w:rsidRPr="006B3E9D">
        <w:rPr>
          <w:rFonts w:ascii="Arial" w:hAnsi="Arial"/>
          <w:i/>
          <w:w w:val="150"/>
          <w:sz w:val="28"/>
          <w:lang w:val="en-GB"/>
        </w:rPr>
        <w:t>J</w:t>
      </w:r>
      <w:r w:rsidRPr="006B3E9D">
        <w:rPr>
          <w:rFonts w:ascii="Arial" w:hAnsi="Arial"/>
          <w:i/>
          <w:w w:val="150"/>
          <w:sz w:val="18"/>
          <w:szCs w:val="18"/>
          <w:lang w:val="en-GB"/>
        </w:rPr>
        <w:t xml:space="preserve">IMMY </w:t>
      </w:r>
      <w:r w:rsidRPr="006B3E9D">
        <w:rPr>
          <w:rFonts w:ascii="Arial" w:hAnsi="Arial"/>
          <w:i/>
          <w:w w:val="150"/>
          <w:sz w:val="28"/>
          <w:lang w:val="en-GB"/>
        </w:rPr>
        <w:t>S</w:t>
      </w:r>
      <w:r w:rsidRPr="006B3E9D">
        <w:rPr>
          <w:rFonts w:ascii="Arial" w:hAnsi="Arial"/>
          <w:i/>
          <w:w w:val="150"/>
          <w:sz w:val="18"/>
          <w:szCs w:val="18"/>
          <w:lang w:val="en-GB"/>
        </w:rPr>
        <w:t xml:space="preserve">ÁNCHEZ </w:t>
      </w:r>
      <w:r w:rsidRPr="006B3E9D">
        <w:rPr>
          <w:rFonts w:ascii="Arial" w:hAnsi="Arial"/>
          <w:i/>
          <w:w w:val="150"/>
          <w:sz w:val="28"/>
          <w:szCs w:val="18"/>
          <w:lang w:val="en-GB"/>
        </w:rPr>
        <w:t>C.</w:t>
      </w:r>
      <w:r w:rsidRPr="006B3E9D">
        <w:rPr>
          <w:rFonts w:ascii="Arial" w:hAnsi="Arial"/>
          <w:i/>
          <w:w w:val="150"/>
          <w:sz w:val="28"/>
          <w:szCs w:val="18"/>
          <w:lang w:val="en-GB"/>
        </w:rPr>
        <w:tab/>
      </w:r>
      <w:r w:rsidRPr="006B3E9D">
        <w:rPr>
          <w:rFonts w:ascii="Arial" w:hAnsi="Arial"/>
          <w:i/>
          <w:w w:val="150"/>
          <w:sz w:val="28"/>
          <w:szCs w:val="18"/>
          <w:lang w:val="en-GB"/>
        </w:rPr>
        <w:tab/>
      </w:r>
      <w:r w:rsidRPr="006B3E9D">
        <w:rPr>
          <w:rFonts w:ascii="Arial" w:hAnsi="Arial" w:cs="Arial"/>
          <w:i/>
          <w:spacing w:val="-3"/>
          <w:w w:val="150"/>
          <w:sz w:val="28"/>
          <w:szCs w:val="18"/>
          <w:lang w:val="en-GB"/>
        </w:rPr>
        <w:t>J</w:t>
      </w:r>
      <w:r w:rsidRPr="006B3E9D">
        <w:rPr>
          <w:rFonts w:ascii="Arial" w:hAnsi="Arial" w:cs="Arial"/>
          <w:i/>
          <w:spacing w:val="-3"/>
          <w:w w:val="150"/>
          <w:sz w:val="18"/>
          <w:szCs w:val="18"/>
          <w:lang w:val="en-GB"/>
        </w:rPr>
        <w:t xml:space="preserve">AIME </w:t>
      </w:r>
      <w:r w:rsidRPr="006B3E9D">
        <w:rPr>
          <w:rFonts w:ascii="Arial" w:hAnsi="Arial" w:cs="Arial"/>
          <w:i/>
          <w:spacing w:val="-3"/>
          <w:w w:val="150"/>
          <w:sz w:val="28"/>
          <w:szCs w:val="18"/>
          <w:lang w:val="en-GB"/>
        </w:rPr>
        <w:t>A</w:t>
      </w:r>
      <w:r w:rsidRPr="006B3E9D">
        <w:rPr>
          <w:rFonts w:ascii="Arial" w:hAnsi="Arial"/>
          <w:i/>
          <w:w w:val="150"/>
          <w:sz w:val="18"/>
          <w:szCs w:val="18"/>
          <w:lang w:val="en-GB"/>
        </w:rPr>
        <w:t xml:space="preserve">LBERTO </w:t>
      </w:r>
      <w:proofErr w:type="spellStart"/>
      <w:r w:rsidRPr="006B3E9D">
        <w:rPr>
          <w:rFonts w:ascii="Arial" w:hAnsi="Arial" w:cs="Arial"/>
          <w:i/>
          <w:spacing w:val="-3"/>
          <w:w w:val="150"/>
          <w:sz w:val="28"/>
          <w:szCs w:val="18"/>
          <w:lang w:val="en-GB"/>
        </w:rPr>
        <w:t>S</w:t>
      </w:r>
      <w:r w:rsidRPr="006B3E9D">
        <w:rPr>
          <w:rFonts w:ascii="Arial" w:hAnsi="Arial" w:cs="Arial"/>
          <w:i/>
          <w:spacing w:val="-3"/>
          <w:w w:val="150"/>
          <w:sz w:val="18"/>
          <w:szCs w:val="16"/>
          <w:lang w:val="en-GB"/>
        </w:rPr>
        <w:t>ARAZA</w:t>
      </w:r>
      <w:proofErr w:type="spellEnd"/>
      <w:r w:rsidRPr="006B3E9D">
        <w:rPr>
          <w:rFonts w:ascii="Arial" w:hAnsi="Arial" w:cs="Arial"/>
          <w:i/>
          <w:spacing w:val="-3"/>
          <w:w w:val="150"/>
          <w:sz w:val="18"/>
          <w:szCs w:val="16"/>
          <w:lang w:val="en-GB"/>
        </w:rPr>
        <w:t xml:space="preserve"> </w:t>
      </w:r>
      <w:r w:rsidRPr="006B3E9D">
        <w:rPr>
          <w:rFonts w:ascii="Arial" w:hAnsi="Arial" w:cs="Arial"/>
          <w:i/>
          <w:spacing w:val="-3"/>
          <w:w w:val="150"/>
          <w:sz w:val="28"/>
          <w:szCs w:val="18"/>
          <w:lang w:val="en-GB"/>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6B3E9D">
        <w:rPr>
          <w:rFonts w:ascii="Arial" w:hAnsi="Arial" w:cs="Arial"/>
          <w:i/>
          <w:w w:val="150"/>
          <w:sz w:val="2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C87D22" w:rsidSect="00502D4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BC" w:rsidRDefault="00E220BC" w:rsidP="0099045D">
      <w:r>
        <w:separator/>
      </w:r>
    </w:p>
  </w:endnote>
  <w:endnote w:type="continuationSeparator" w:id="0">
    <w:p w:rsidR="00E220BC" w:rsidRDefault="00E220B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BC" w:rsidRDefault="00E220BC" w:rsidP="0099045D">
      <w:r>
        <w:separator/>
      </w:r>
    </w:p>
  </w:footnote>
  <w:footnote w:type="continuationSeparator" w:id="0">
    <w:p w:rsidR="00E220BC" w:rsidRDefault="00E220BC" w:rsidP="0099045D">
      <w:r>
        <w:continuationSeparator/>
      </w:r>
    </w:p>
  </w:footnote>
  <w:footnote w:id="1">
    <w:p w:rsidR="00CD3E18" w:rsidRDefault="00CD3E18" w:rsidP="00CD3E1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CD3E18" w:rsidRPr="00567558" w:rsidRDefault="00CD3E18" w:rsidP="00CD3E1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00394B4A">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CD3E18" w:rsidRPr="00567558" w:rsidRDefault="00CD3E18" w:rsidP="00CD3E1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w:t>
      </w:r>
      <w:r w:rsidR="00394B4A">
        <w:rPr>
          <w:rFonts w:ascii="Calibri" w:hAnsi="Calibri" w:cs="Calibri"/>
          <w:lang w:val="es-MX"/>
        </w:rPr>
        <w:t>CC</w:t>
      </w:r>
      <w:r w:rsidRPr="00567558">
        <w:rPr>
          <w:rFonts w:ascii="Calibri" w:hAnsi="Calibri" w:cs="Calibri"/>
          <w:lang w:val="es-MX"/>
        </w:rPr>
        <w:t>. Sentencia C-590 de 2005.</w:t>
      </w:r>
    </w:p>
  </w:footnote>
  <w:footnote w:id="4">
    <w:p w:rsidR="00CD3E18" w:rsidRPr="00FF68BE" w:rsidRDefault="00CD3E18" w:rsidP="00CD3E18">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w:t>
      </w:r>
      <w:r w:rsidR="00394B4A">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CD3E18" w:rsidRPr="005D1B2D" w:rsidRDefault="00CD3E18" w:rsidP="00CD3E18">
      <w:pPr>
        <w:pStyle w:val="Textonotapie"/>
        <w:rPr>
          <w:lang w:val="es-CO"/>
        </w:rPr>
      </w:pPr>
      <w:r>
        <w:rPr>
          <w:rStyle w:val="Refdenotaalpie"/>
        </w:rPr>
        <w:footnoteRef/>
      </w:r>
      <w:r>
        <w:t xml:space="preserve"> </w:t>
      </w:r>
      <w:r w:rsidR="00394B4A">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CD3E18" w:rsidRPr="00567558" w:rsidRDefault="00CD3E18" w:rsidP="00CD3E18">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CD3E18" w:rsidRDefault="00CD3E18" w:rsidP="00CD3E1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765006" w:rsidRPr="006B3E9D" w:rsidRDefault="00765006" w:rsidP="00765006">
      <w:pPr>
        <w:pStyle w:val="Textonotapie"/>
        <w:jc w:val="both"/>
        <w:rPr>
          <w:rFonts w:asciiTheme="minorHAnsi" w:hAnsiTheme="minorHAnsi"/>
          <w:lang w:val="fr-FR"/>
        </w:rPr>
      </w:pPr>
      <w:r w:rsidRPr="00052412">
        <w:rPr>
          <w:rStyle w:val="Refdenotaalpie"/>
          <w:rFonts w:asciiTheme="minorHAnsi" w:hAnsiTheme="minorHAnsi" w:cs="Calibri"/>
        </w:rPr>
        <w:footnoteRef/>
      </w:r>
      <w:r w:rsidRPr="006B3E9D">
        <w:rPr>
          <w:rFonts w:asciiTheme="minorHAnsi" w:hAnsiTheme="minorHAnsi" w:cs="Calibri"/>
          <w:lang w:val="fr-FR"/>
        </w:rPr>
        <w:t xml:space="preserve"> </w:t>
      </w:r>
      <w:r w:rsidR="00394B4A" w:rsidRPr="006B3E9D">
        <w:rPr>
          <w:rFonts w:asciiTheme="minorHAnsi" w:hAnsiTheme="minorHAnsi" w:cs="Calibri"/>
          <w:lang w:val="fr-FR"/>
        </w:rPr>
        <w:t>CC</w:t>
      </w:r>
      <w:r w:rsidRPr="006B3E9D">
        <w:rPr>
          <w:rFonts w:asciiTheme="minorHAnsi" w:hAnsiTheme="minorHAnsi" w:cs="Calibri"/>
          <w:lang w:val="fr-FR"/>
        </w:rPr>
        <w:t>. Sentencia T-231 de 1994.</w:t>
      </w:r>
    </w:p>
  </w:footnote>
  <w:footnote w:id="9">
    <w:p w:rsidR="00765006" w:rsidRPr="006B3E9D" w:rsidRDefault="00765006" w:rsidP="00765006">
      <w:pPr>
        <w:pStyle w:val="Textonotapie"/>
        <w:jc w:val="both"/>
        <w:rPr>
          <w:rFonts w:asciiTheme="minorHAnsi" w:hAnsiTheme="minorHAnsi"/>
          <w:lang w:val="fr-FR"/>
        </w:rPr>
      </w:pPr>
      <w:r w:rsidRPr="00052412">
        <w:rPr>
          <w:rStyle w:val="Refdenotaalpie"/>
          <w:rFonts w:asciiTheme="minorHAnsi" w:hAnsiTheme="minorHAnsi" w:cs="Calibri"/>
        </w:rPr>
        <w:footnoteRef/>
      </w:r>
      <w:r w:rsidRPr="006B3E9D">
        <w:rPr>
          <w:rFonts w:asciiTheme="minorHAnsi" w:hAnsiTheme="minorHAnsi" w:cs="Calibri"/>
          <w:lang w:val="fr-FR"/>
        </w:rPr>
        <w:t xml:space="preserve"> </w:t>
      </w:r>
      <w:r w:rsidR="00394B4A" w:rsidRPr="006B3E9D">
        <w:rPr>
          <w:rFonts w:asciiTheme="minorHAnsi" w:hAnsiTheme="minorHAnsi" w:cs="Calibri"/>
          <w:lang w:val="fr-FR"/>
        </w:rPr>
        <w:t>CC</w:t>
      </w:r>
      <w:r w:rsidRPr="006B3E9D">
        <w:rPr>
          <w:rFonts w:asciiTheme="minorHAnsi" w:hAnsiTheme="minorHAnsi" w:cs="Calibri"/>
          <w:lang w:val="fr-FR"/>
        </w:rPr>
        <w:t>. Sentencia T-831 de 2012</w:t>
      </w:r>
      <w:r w:rsidR="00993BE7" w:rsidRPr="006B3E9D">
        <w:rPr>
          <w:rFonts w:asciiTheme="minorHAnsi" w:hAnsiTheme="minorHAnsi" w:cs="Calibri"/>
          <w:lang w:val="fr-FR"/>
        </w:rPr>
        <w:t>.</w:t>
      </w:r>
    </w:p>
  </w:footnote>
  <w:footnote w:id="10">
    <w:p w:rsidR="00765006" w:rsidRPr="00052412" w:rsidRDefault="00765006"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1">
    <w:p w:rsidR="00765006" w:rsidRPr="006B3E9D" w:rsidRDefault="00765006" w:rsidP="00765006">
      <w:pPr>
        <w:pStyle w:val="Textonotapie"/>
        <w:jc w:val="both"/>
        <w:rPr>
          <w:rFonts w:asciiTheme="minorHAnsi" w:hAnsiTheme="minorHAnsi"/>
          <w:lang w:val="fr-FR"/>
        </w:rPr>
      </w:pPr>
      <w:r w:rsidRPr="000A1B5D">
        <w:rPr>
          <w:rFonts w:asciiTheme="minorHAnsi" w:hAnsiTheme="minorHAnsi"/>
          <w:vertAlign w:val="superscript"/>
        </w:rPr>
        <w:footnoteRef/>
      </w:r>
      <w:r w:rsidRPr="006B3E9D">
        <w:rPr>
          <w:rFonts w:asciiTheme="minorHAnsi" w:hAnsiTheme="minorHAnsi"/>
          <w:lang w:val="fr-FR"/>
        </w:rPr>
        <w:t xml:space="preserve"> </w:t>
      </w:r>
      <w:r w:rsidR="00394B4A" w:rsidRPr="006B3E9D">
        <w:rPr>
          <w:rFonts w:asciiTheme="minorHAnsi" w:hAnsiTheme="minorHAnsi" w:cs="Calibri"/>
          <w:lang w:val="fr-FR"/>
        </w:rPr>
        <w:t>CC</w:t>
      </w:r>
      <w:r w:rsidRPr="006B3E9D">
        <w:rPr>
          <w:rFonts w:asciiTheme="minorHAnsi" w:hAnsiTheme="minorHAnsi"/>
          <w:lang w:val="fr-FR"/>
        </w:rPr>
        <w:t>. Sentencia T-573 de 1997</w:t>
      </w:r>
      <w:r w:rsidR="00993BE7" w:rsidRPr="006B3E9D">
        <w:rPr>
          <w:rFonts w:asciiTheme="minorHAnsi" w:hAnsiTheme="minorHAnsi"/>
          <w:lang w:val="fr-FR"/>
        </w:rPr>
        <w:t>.</w:t>
      </w:r>
    </w:p>
  </w:footnote>
  <w:footnote w:id="12">
    <w:p w:rsidR="00765006" w:rsidRPr="006B3E9D" w:rsidRDefault="00765006" w:rsidP="00765006">
      <w:pPr>
        <w:pStyle w:val="Textonotapie"/>
        <w:jc w:val="both"/>
        <w:rPr>
          <w:rFonts w:asciiTheme="minorHAnsi" w:hAnsiTheme="minorHAnsi"/>
          <w:lang w:val="fr-FR"/>
        </w:rPr>
      </w:pPr>
      <w:r w:rsidRPr="000A1B5D">
        <w:rPr>
          <w:rFonts w:asciiTheme="minorHAnsi" w:hAnsiTheme="minorHAnsi"/>
          <w:vertAlign w:val="superscript"/>
        </w:rPr>
        <w:footnoteRef/>
      </w:r>
      <w:r w:rsidRPr="006B3E9D">
        <w:rPr>
          <w:rFonts w:asciiTheme="minorHAnsi" w:hAnsiTheme="minorHAnsi"/>
          <w:lang w:val="fr-FR"/>
        </w:rPr>
        <w:t xml:space="preserve"> </w:t>
      </w:r>
      <w:r w:rsidR="00394B4A" w:rsidRPr="006B3E9D">
        <w:rPr>
          <w:rFonts w:asciiTheme="minorHAnsi" w:hAnsiTheme="minorHAnsi" w:cs="Calibri"/>
          <w:lang w:val="fr-FR"/>
        </w:rPr>
        <w:t>CC</w:t>
      </w:r>
      <w:r w:rsidRPr="006B3E9D">
        <w:rPr>
          <w:rFonts w:asciiTheme="minorHAnsi" w:hAnsiTheme="minorHAnsi"/>
          <w:lang w:val="fr-FR"/>
        </w:rPr>
        <w:t>. Sentencia T-567 de 1998.</w:t>
      </w:r>
    </w:p>
  </w:footnote>
  <w:footnote w:id="13">
    <w:p w:rsidR="00765006" w:rsidRPr="000A1B5D" w:rsidRDefault="00765006"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00394B4A">
        <w:rPr>
          <w:rFonts w:asciiTheme="minorHAnsi" w:hAnsiTheme="minorHAnsi" w:cs="Calibri"/>
          <w:lang w:val="es-MX"/>
        </w:rPr>
        <w:t>CC</w:t>
      </w:r>
      <w:r w:rsidRPr="000A1B5D">
        <w:rPr>
          <w:rFonts w:asciiTheme="minorHAnsi" w:hAnsiTheme="minorHAnsi"/>
          <w:lang w:val="es-CO"/>
        </w:rPr>
        <w:t>. Sentencia T-001 de 1999.</w:t>
      </w:r>
    </w:p>
  </w:footnote>
  <w:footnote w:id="14">
    <w:p w:rsidR="00765006" w:rsidRPr="000A1B5D" w:rsidRDefault="00765006" w:rsidP="00765006">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00394B4A">
        <w:rPr>
          <w:rFonts w:asciiTheme="minorHAnsi" w:hAnsiTheme="minorHAnsi" w:cs="Calibri"/>
          <w:lang w:val="es-MX"/>
        </w:rPr>
        <w:t>CC</w:t>
      </w:r>
      <w:r w:rsidRPr="000A1B5D">
        <w:rPr>
          <w:rFonts w:asciiTheme="minorHAnsi" w:hAnsiTheme="minorHAnsi" w:cs="Calibri"/>
          <w:lang w:val="es-MX"/>
        </w:rPr>
        <w:t xml:space="preserve">. Sentencia SU-949 </w:t>
      </w:r>
      <w:r w:rsidR="00993BE7">
        <w:rPr>
          <w:rFonts w:asciiTheme="minorHAnsi" w:hAnsiTheme="minorHAnsi" w:cs="Calibri"/>
          <w:lang w:val="es-MX"/>
        </w:rPr>
        <w:t xml:space="preserve">de </w:t>
      </w:r>
      <w:r w:rsidRPr="000A1B5D">
        <w:rPr>
          <w:rFonts w:asciiTheme="minorHAnsi" w:hAnsiTheme="minorHAnsi" w:cs="Calibri"/>
          <w:lang w:val="es-MX"/>
        </w:rPr>
        <w:t>2014.</w:t>
      </w:r>
    </w:p>
  </w:footnote>
  <w:footnote w:id="15">
    <w:p w:rsidR="00765006" w:rsidRPr="00993BE7" w:rsidRDefault="00765006" w:rsidP="00765006">
      <w:pPr>
        <w:pStyle w:val="Textonotapie"/>
        <w:rPr>
          <w:rFonts w:asciiTheme="minorHAnsi" w:hAnsiTheme="minorHAnsi" w:cs="Calibri"/>
          <w:lang w:val="es-MX"/>
        </w:rPr>
      </w:pPr>
      <w:r>
        <w:rPr>
          <w:rStyle w:val="Refdenotaalpie"/>
        </w:rPr>
        <w:footnoteRef/>
      </w:r>
      <w:r>
        <w:t xml:space="preserve"> </w:t>
      </w:r>
      <w:r w:rsidR="00394B4A">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sidR="00993BE7">
        <w:rPr>
          <w:rFonts w:asciiTheme="minorHAnsi" w:hAnsiTheme="minorHAnsi" w:cs="Calibri"/>
          <w:lang w:val="es-MX"/>
        </w:rPr>
        <w:t xml:space="preserve"> </w:t>
      </w:r>
      <w:r>
        <w:rPr>
          <w:rFonts w:asciiTheme="minorHAnsi" w:hAnsiTheme="minorHAnsi" w:cs="Calibri"/>
          <w:lang w:val="es-MX"/>
        </w:rPr>
        <w:t>2015</w:t>
      </w:r>
      <w:r w:rsidRPr="000A1B5D">
        <w:rPr>
          <w:rFonts w:asciiTheme="minorHAnsi" w:hAnsiTheme="minorHAnsi" w:cs="Calibri"/>
          <w:lang w:val="es-MX"/>
        </w:rPr>
        <w:t>.</w:t>
      </w:r>
    </w:p>
  </w:footnote>
  <w:footnote w:id="16">
    <w:p w:rsidR="00765006" w:rsidRPr="003F120A" w:rsidRDefault="00765006" w:rsidP="00765006">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00394B4A">
        <w:rPr>
          <w:rFonts w:asciiTheme="minorHAnsi" w:hAnsiTheme="minorHAnsi" w:cs="Calibri"/>
          <w:lang w:val="es-MX"/>
        </w:rPr>
        <w:t>CC</w:t>
      </w:r>
      <w:r w:rsidRPr="000A1B5D">
        <w:rPr>
          <w:rFonts w:asciiTheme="minorHAnsi" w:hAnsiTheme="minorHAnsi" w:cs="Calibri"/>
          <w:lang w:val="es-MX"/>
        </w:rPr>
        <w:t>. Sentencia SU-949 de</w:t>
      </w:r>
      <w:r w:rsidR="00993BE7">
        <w:rPr>
          <w:rFonts w:asciiTheme="minorHAnsi" w:hAnsiTheme="minorHAnsi" w:cs="Calibri"/>
          <w:lang w:val="es-MX"/>
        </w:rPr>
        <w:t xml:space="preserve"> </w:t>
      </w:r>
      <w:r w:rsidRPr="000A1B5D">
        <w:rPr>
          <w:rFonts w:asciiTheme="minorHAnsi" w:hAnsiTheme="minorHAnsi" w:cs="Calibri"/>
          <w:lang w:val="es-MX"/>
        </w:rPr>
        <w:t>2014</w:t>
      </w:r>
      <w:r w:rsidR="00993BE7">
        <w:rPr>
          <w:rFonts w:asciiTheme="minorHAnsi" w:hAnsiTheme="minorHAnsi" w:cs="Calibri"/>
          <w:lang w:val="es-MX"/>
        </w:rPr>
        <w:t>.</w:t>
      </w:r>
      <w:r w:rsidRPr="003F120A">
        <w:rPr>
          <w:rFonts w:asciiTheme="minorHAnsi" w:hAnsiTheme="minorHAnsi"/>
          <w:lang w:val="es-CO"/>
        </w:rPr>
        <w:t xml:space="preserve"> </w:t>
      </w:r>
    </w:p>
  </w:footnote>
  <w:footnote w:id="17">
    <w:p w:rsidR="00AA1E03" w:rsidRPr="006B3E9D" w:rsidRDefault="00AA1E03" w:rsidP="00AA1E03">
      <w:pPr>
        <w:pStyle w:val="Textonotapie"/>
        <w:jc w:val="both"/>
        <w:rPr>
          <w:lang w:val="fr-FR"/>
        </w:rPr>
      </w:pPr>
      <w:r w:rsidRPr="00623B4F">
        <w:rPr>
          <w:rStyle w:val="Refdenotaalpie"/>
          <w:rFonts w:asciiTheme="minorHAnsi" w:hAnsiTheme="minorHAnsi" w:cs="Calibri"/>
        </w:rPr>
        <w:footnoteRef/>
      </w:r>
      <w:r w:rsidRPr="006B3E9D">
        <w:rPr>
          <w:rFonts w:asciiTheme="minorHAnsi" w:hAnsiTheme="minorHAnsi" w:cs="Calibri"/>
          <w:lang w:val="fr-FR"/>
        </w:rPr>
        <w:t xml:space="preserve"> </w:t>
      </w:r>
      <w:r w:rsidR="00394B4A" w:rsidRPr="006B3E9D">
        <w:rPr>
          <w:rFonts w:asciiTheme="minorHAnsi" w:hAnsiTheme="minorHAnsi" w:cs="Calibri"/>
          <w:lang w:val="fr-FR"/>
        </w:rPr>
        <w:t>CC</w:t>
      </w:r>
      <w:r w:rsidRPr="006B3E9D">
        <w:rPr>
          <w:rFonts w:asciiTheme="minorHAnsi" w:hAnsiTheme="minorHAnsi" w:cs="Calibri"/>
          <w:lang w:val="fr-FR"/>
        </w:rPr>
        <w:t>. Sentencia T-193 de 2008.</w:t>
      </w:r>
    </w:p>
  </w:footnote>
  <w:footnote w:id="18">
    <w:p w:rsidR="00AA1E03" w:rsidRPr="006B3E9D" w:rsidRDefault="00AA1E03" w:rsidP="00AA1E03">
      <w:pPr>
        <w:pStyle w:val="Textonotapie"/>
        <w:rPr>
          <w:lang w:val="fr-FR"/>
        </w:rPr>
      </w:pPr>
      <w:r>
        <w:rPr>
          <w:rStyle w:val="Refdenotaalpie"/>
        </w:rPr>
        <w:footnoteRef/>
      </w:r>
      <w:r w:rsidRPr="006B3E9D">
        <w:rPr>
          <w:lang w:val="fr-FR"/>
        </w:rPr>
        <w:t xml:space="preserve"> </w:t>
      </w:r>
      <w:r w:rsidR="00394B4A" w:rsidRPr="006B3E9D">
        <w:rPr>
          <w:rFonts w:asciiTheme="minorHAnsi" w:hAnsiTheme="minorHAnsi" w:cs="Calibri"/>
          <w:lang w:val="fr-FR"/>
        </w:rPr>
        <w:t>CC</w:t>
      </w:r>
      <w:r w:rsidRPr="006B3E9D">
        <w:rPr>
          <w:rFonts w:asciiTheme="minorHAnsi" w:hAnsiTheme="minorHAnsi" w:cs="Calibri"/>
          <w:lang w:val="fr-FR"/>
        </w:rPr>
        <w:t>. Sentencia T-185 de 2013.</w:t>
      </w:r>
    </w:p>
  </w:footnote>
  <w:footnote w:id="19">
    <w:p w:rsidR="00AA1E03" w:rsidRPr="007B0994" w:rsidRDefault="00AA1E03" w:rsidP="00AA1E03">
      <w:pPr>
        <w:pStyle w:val="Textonotapie"/>
        <w:rPr>
          <w:lang w:val="es-CO"/>
        </w:rPr>
      </w:pPr>
      <w:r>
        <w:rPr>
          <w:rStyle w:val="Refdenotaalpie"/>
        </w:rPr>
        <w:footnoteRef/>
      </w:r>
      <w:r>
        <w:t xml:space="preserve"> </w:t>
      </w:r>
      <w:r w:rsidR="00394B4A">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20">
    <w:p w:rsidR="00AA1E03" w:rsidRPr="00833A61" w:rsidRDefault="00AA1E03" w:rsidP="00AA1E03">
      <w:pPr>
        <w:pStyle w:val="Textonotapie"/>
        <w:rPr>
          <w:lang w:val="es-CO"/>
        </w:rPr>
      </w:pPr>
      <w:r>
        <w:rPr>
          <w:rStyle w:val="Refdenotaalpie"/>
        </w:rPr>
        <w:footnoteRef/>
      </w:r>
      <w:r>
        <w:t xml:space="preserve"> </w:t>
      </w:r>
      <w:r w:rsidR="00394B4A">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1">
    <w:p w:rsidR="00AA1E03" w:rsidRPr="00104D5D" w:rsidRDefault="00AA1E03" w:rsidP="00AA1E0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22">
    <w:p w:rsidR="00AA1E03" w:rsidRPr="00104D5D" w:rsidRDefault="00AA1E03" w:rsidP="00AA1E03">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00394B4A">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23">
    <w:p w:rsidR="00AA1E03" w:rsidRPr="006B3E9D" w:rsidRDefault="00AA1E03" w:rsidP="00AA1E03">
      <w:pPr>
        <w:pStyle w:val="Textonotapie"/>
        <w:jc w:val="both"/>
        <w:rPr>
          <w:rFonts w:ascii="Calibri" w:hAnsi="Calibri"/>
          <w:lang w:val="fr-FR"/>
        </w:rPr>
      </w:pPr>
      <w:r w:rsidRPr="008C531D">
        <w:rPr>
          <w:rStyle w:val="Refdenotaalpie"/>
          <w:rFonts w:ascii="Calibri" w:hAnsi="Calibri"/>
        </w:rPr>
        <w:footnoteRef/>
      </w:r>
      <w:r w:rsidRPr="006B3E9D">
        <w:rPr>
          <w:rFonts w:ascii="Calibri" w:hAnsi="Calibri"/>
          <w:lang w:val="fr-FR"/>
        </w:rPr>
        <w:t xml:space="preserve"> </w:t>
      </w:r>
      <w:r w:rsidR="00394B4A" w:rsidRPr="006B3E9D">
        <w:rPr>
          <w:rFonts w:ascii="Calibri" w:hAnsi="Calibri"/>
          <w:lang w:val="fr-FR"/>
        </w:rPr>
        <w:t>CC</w:t>
      </w:r>
      <w:r w:rsidRPr="006B3E9D">
        <w:rPr>
          <w:rFonts w:ascii="Calibri" w:hAnsi="Calibri"/>
          <w:lang w:val="fr-FR"/>
        </w:rPr>
        <w:t>. Sentencia T-057 de 2016.</w:t>
      </w:r>
    </w:p>
  </w:footnote>
  <w:footnote w:id="24">
    <w:p w:rsidR="00AA1E03" w:rsidRPr="006B3E9D" w:rsidRDefault="00AA1E03" w:rsidP="00AA1E03">
      <w:pPr>
        <w:pStyle w:val="Textonotapie"/>
        <w:jc w:val="both"/>
        <w:rPr>
          <w:rFonts w:ascii="Calibri" w:hAnsi="Calibri"/>
          <w:lang w:val="fr-FR"/>
        </w:rPr>
      </w:pPr>
      <w:r w:rsidRPr="008C531D">
        <w:rPr>
          <w:rStyle w:val="Refdenotaalpie"/>
          <w:rFonts w:ascii="Calibri" w:hAnsi="Calibri"/>
        </w:rPr>
        <w:footnoteRef/>
      </w:r>
      <w:r w:rsidRPr="006B3E9D">
        <w:rPr>
          <w:rFonts w:ascii="Calibri" w:hAnsi="Calibri"/>
          <w:lang w:val="fr-FR"/>
        </w:rPr>
        <w:t xml:space="preserve"> </w:t>
      </w:r>
      <w:r w:rsidR="00394B4A" w:rsidRPr="006B3E9D">
        <w:rPr>
          <w:rFonts w:ascii="Calibri" w:hAnsi="Calibri"/>
          <w:lang w:val="fr-FR"/>
        </w:rPr>
        <w:t>CC</w:t>
      </w:r>
      <w:r w:rsidRPr="006B3E9D">
        <w:rPr>
          <w:rFonts w:ascii="Calibri" w:hAnsi="Calibri"/>
          <w:lang w:val="fr-FR"/>
        </w:rPr>
        <w:t>. Sentencia T-095 de 2015.</w:t>
      </w:r>
    </w:p>
  </w:footnote>
  <w:footnote w:id="25">
    <w:p w:rsidR="00AA1E03" w:rsidRPr="00A4402B" w:rsidRDefault="00AA1E03" w:rsidP="00AA1E03">
      <w:pPr>
        <w:pStyle w:val="Textonotapie"/>
        <w:jc w:val="both"/>
        <w:rPr>
          <w:lang w:val="es-CO"/>
        </w:rPr>
      </w:pPr>
      <w:r w:rsidRPr="008C531D">
        <w:rPr>
          <w:rStyle w:val="Refdenotaalpie"/>
          <w:rFonts w:ascii="Calibri" w:hAnsi="Calibri"/>
        </w:rPr>
        <w:footnoteRef/>
      </w:r>
      <w:r w:rsidRPr="008C531D">
        <w:rPr>
          <w:rFonts w:ascii="Calibri" w:hAnsi="Calibri"/>
        </w:rPr>
        <w:t xml:space="preserve"> </w:t>
      </w:r>
      <w:r w:rsidR="00394B4A">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26">
    <w:p w:rsidR="00865982" w:rsidRPr="000D1189" w:rsidRDefault="00865982" w:rsidP="00865982">
      <w:pPr>
        <w:pStyle w:val="Default"/>
        <w:jc w:val="both"/>
        <w:rPr>
          <w:rFonts w:asciiTheme="minorHAnsi" w:hAnsiTheme="minorHAnsi"/>
          <w:sz w:val="20"/>
          <w:szCs w:val="20"/>
        </w:rPr>
      </w:pPr>
      <w:r w:rsidRPr="000D1189">
        <w:rPr>
          <w:rStyle w:val="Refdenotaalpie"/>
          <w:rFonts w:asciiTheme="minorHAnsi" w:hAnsiTheme="minorHAnsi"/>
          <w:sz w:val="20"/>
          <w:szCs w:val="20"/>
        </w:rPr>
        <w:footnoteRef/>
      </w:r>
      <w:r w:rsidRPr="000D1189">
        <w:rPr>
          <w:rFonts w:asciiTheme="minorHAnsi" w:hAnsiTheme="minorHAnsi"/>
          <w:sz w:val="20"/>
          <w:szCs w:val="20"/>
        </w:rPr>
        <w:t xml:space="preserve"> </w:t>
      </w:r>
      <w:r w:rsidR="007F7973">
        <w:rPr>
          <w:rFonts w:asciiTheme="minorHAnsi" w:hAnsiTheme="minorHAnsi" w:cs="Calibri"/>
          <w:sz w:val="20"/>
          <w:szCs w:val="20"/>
        </w:rPr>
        <w:t>CE</w:t>
      </w:r>
      <w:r>
        <w:rPr>
          <w:rFonts w:asciiTheme="minorHAnsi" w:hAnsiTheme="minorHAnsi" w:cs="Calibri"/>
          <w:sz w:val="20"/>
          <w:szCs w:val="20"/>
        </w:rPr>
        <w:t>,</w:t>
      </w:r>
      <w:r w:rsidRPr="000D1189">
        <w:rPr>
          <w:rFonts w:asciiTheme="minorHAnsi" w:hAnsiTheme="minorHAnsi" w:cs="Calibri"/>
          <w:sz w:val="20"/>
          <w:szCs w:val="20"/>
        </w:rPr>
        <w:t xml:space="preserve"> Contencioso Administrativo, Sección Primera</w:t>
      </w:r>
      <w:r>
        <w:rPr>
          <w:rFonts w:asciiTheme="minorHAnsi" w:hAnsiTheme="minorHAnsi" w:cs="Calibri"/>
          <w:sz w:val="20"/>
          <w:szCs w:val="20"/>
        </w:rPr>
        <w:t>.</w:t>
      </w:r>
      <w:r w:rsidRPr="000D1189">
        <w:rPr>
          <w:rFonts w:asciiTheme="minorHAnsi" w:hAnsiTheme="minorHAnsi" w:cs="Calibri"/>
          <w:sz w:val="20"/>
          <w:szCs w:val="20"/>
        </w:rPr>
        <w:t xml:space="preserve"> Sentencia 19-11-2009, CP (E): María Claudia Rojas Lasso.</w:t>
      </w:r>
      <w:r w:rsidRPr="000D1189">
        <w:rPr>
          <w:rFonts w:asciiTheme="minorHAnsi" w:hAnsiTheme="minorHAnsi"/>
          <w:sz w:val="20"/>
          <w:szCs w:val="20"/>
        </w:rPr>
        <w:t xml:space="preserve"> </w:t>
      </w:r>
      <w:proofErr w:type="spellStart"/>
      <w:r w:rsidRPr="000D1189">
        <w:rPr>
          <w:rFonts w:asciiTheme="minorHAnsi" w:hAnsiTheme="minorHAnsi"/>
          <w:sz w:val="20"/>
          <w:szCs w:val="20"/>
        </w:rPr>
        <w:t>exp</w:t>
      </w:r>
      <w:proofErr w:type="spellEnd"/>
      <w:r w:rsidRPr="000D1189">
        <w:rPr>
          <w:rFonts w:asciiTheme="minorHAnsi" w:hAnsiTheme="minorHAnsi"/>
          <w:sz w:val="20"/>
          <w:szCs w:val="20"/>
        </w:rPr>
        <w:t xml:space="preserve">. </w:t>
      </w:r>
      <w:r w:rsidRPr="000D1189">
        <w:rPr>
          <w:rFonts w:asciiTheme="minorHAnsi" w:hAnsiTheme="minorHAnsi" w:cs="Times New Roman"/>
          <w:color w:val="auto"/>
          <w:sz w:val="20"/>
          <w:szCs w:val="20"/>
        </w:rPr>
        <w:t>41001-23-31-000-2004-01175-01(AP).</w:t>
      </w:r>
      <w:r w:rsidRPr="000D1189">
        <w:rPr>
          <w:rFonts w:asciiTheme="minorHAnsi" w:hAnsiTheme="minorHAnsi"/>
          <w:b/>
          <w:bCs/>
          <w:sz w:val="20"/>
          <w:szCs w:val="20"/>
        </w:rPr>
        <w:t xml:space="preserve"> </w:t>
      </w:r>
    </w:p>
  </w:footnote>
  <w:footnote w:id="27">
    <w:p w:rsidR="00865982" w:rsidRPr="000D1189" w:rsidRDefault="00865982" w:rsidP="00865982">
      <w:pPr>
        <w:jc w:val="both"/>
        <w:rPr>
          <w:rFonts w:asciiTheme="minorHAnsi" w:hAnsiTheme="minorHAnsi" w:cs="Arial"/>
          <w:sz w:val="20"/>
          <w:szCs w:val="20"/>
          <w:lang w:val="es-CO"/>
        </w:rPr>
      </w:pPr>
      <w:r w:rsidRPr="007F7973">
        <w:rPr>
          <w:rStyle w:val="Refdenotaalpie"/>
          <w:rFonts w:asciiTheme="minorHAnsi" w:hAnsiTheme="minorHAnsi" w:cs="Arial"/>
          <w:sz w:val="20"/>
          <w:szCs w:val="20"/>
        </w:rPr>
        <w:footnoteRef/>
      </w:r>
      <w:r w:rsidRPr="007F7973">
        <w:rPr>
          <w:rFonts w:asciiTheme="minorHAnsi" w:hAnsiTheme="minorHAnsi" w:cs="Arial"/>
          <w:sz w:val="20"/>
          <w:szCs w:val="20"/>
        </w:rPr>
        <w:t xml:space="preserve"> </w:t>
      </w:r>
      <w:r w:rsidR="007F7973">
        <w:rPr>
          <w:rFonts w:asciiTheme="minorHAnsi" w:hAnsiTheme="minorHAnsi" w:cs="Arial"/>
          <w:sz w:val="20"/>
          <w:szCs w:val="20"/>
          <w:lang w:val="es-CO"/>
        </w:rPr>
        <w:t>CSJ,</w:t>
      </w:r>
      <w:r w:rsidR="007F7973" w:rsidRPr="007F7973">
        <w:rPr>
          <w:rFonts w:asciiTheme="minorHAnsi" w:hAnsiTheme="minorHAnsi" w:cs="Arial"/>
          <w:sz w:val="20"/>
          <w:szCs w:val="20"/>
          <w:lang w:val="es-CO"/>
        </w:rPr>
        <w:t xml:space="preserve"> Civil</w:t>
      </w:r>
      <w:r w:rsidR="007F7973">
        <w:rPr>
          <w:rFonts w:asciiTheme="minorHAnsi" w:hAnsiTheme="minorHAnsi" w:cs="Arial"/>
          <w:sz w:val="20"/>
          <w:szCs w:val="20"/>
          <w:lang w:val="es-CO"/>
        </w:rPr>
        <w:t>.</w:t>
      </w:r>
      <w:r w:rsidR="007F7973" w:rsidRPr="007F7973">
        <w:rPr>
          <w:rFonts w:asciiTheme="minorHAnsi" w:hAnsiTheme="minorHAnsi" w:cs="Arial"/>
          <w:sz w:val="20"/>
          <w:szCs w:val="20"/>
          <w:lang w:val="es-CO"/>
        </w:rPr>
        <w:t xml:space="preserve"> Sentencia del 03-03-2011, MP: Arturo Solarte </w:t>
      </w:r>
      <w:r w:rsidR="007F7973">
        <w:rPr>
          <w:rFonts w:asciiTheme="minorHAnsi" w:hAnsiTheme="minorHAnsi" w:cs="Arial"/>
          <w:sz w:val="20"/>
          <w:szCs w:val="20"/>
          <w:lang w:val="es-CO"/>
        </w:rPr>
        <w:t>R.</w:t>
      </w:r>
      <w:r w:rsidR="007F7973" w:rsidRPr="007F7973">
        <w:rPr>
          <w:rFonts w:asciiTheme="minorHAnsi" w:hAnsiTheme="minorHAnsi" w:cs="Arial"/>
          <w:sz w:val="20"/>
          <w:szCs w:val="20"/>
          <w:lang w:val="es-CO"/>
        </w:rPr>
        <w:t xml:space="preserve">; </w:t>
      </w:r>
      <w:proofErr w:type="spellStart"/>
      <w:r w:rsidR="007F7973" w:rsidRPr="007F7973">
        <w:rPr>
          <w:rFonts w:asciiTheme="minorHAnsi" w:hAnsiTheme="minorHAnsi" w:cs="Arial"/>
          <w:sz w:val="20"/>
          <w:szCs w:val="20"/>
          <w:lang w:val="es-CO"/>
        </w:rPr>
        <w:t>exp</w:t>
      </w:r>
      <w:proofErr w:type="spellEnd"/>
      <w:r w:rsidR="007F7973" w:rsidRPr="007F7973">
        <w:rPr>
          <w:rFonts w:asciiTheme="minorHAnsi" w:hAnsiTheme="minorHAnsi" w:cs="Arial"/>
          <w:sz w:val="20"/>
          <w:szCs w:val="20"/>
          <w:lang w:val="es-CO"/>
        </w:rPr>
        <w:t>. No.11001-22-03-000-2011-00029-01, reiterada en la sentencia STC7441-2016</w:t>
      </w:r>
      <w:r w:rsidRPr="007F7973">
        <w:rPr>
          <w:rFonts w:asciiTheme="minorHAnsi" w:hAnsiTheme="minorHAnsi" w:cs="Arial"/>
          <w:sz w:val="20"/>
          <w:szCs w:val="20"/>
          <w:lang w:val="es-CO"/>
        </w:rPr>
        <w:t>.</w:t>
      </w:r>
    </w:p>
  </w:footnote>
  <w:footnote w:id="28">
    <w:p w:rsidR="00865982" w:rsidRPr="000D1189" w:rsidRDefault="00865982" w:rsidP="00865982">
      <w:pPr>
        <w:pStyle w:val="Textonotapie"/>
        <w:rPr>
          <w:rFonts w:asciiTheme="minorHAnsi" w:hAnsiTheme="minorHAnsi"/>
          <w:lang w:val="es-CO"/>
        </w:rPr>
      </w:pPr>
      <w:r w:rsidRPr="000D1189">
        <w:rPr>
          <w:rStyle w:val="Refdenotaalpie"/>
          <w:rFonts w:asciiTheme="minorHAnsi" w:hAnsiTheme="minorHAnsi"/>
        </w:rPr>
        <w:footnoteRef/>
      </w:r>
      <w:r w:rsidRPr="000D1189">
        <w:rPr>
          <w:rFonts w:asciiTheme="minorHAnsi" w:hAnsiTheme="minorHAnsi"/>
        </w:rPr>
        <w:t xml:space="preserve"> </w:t>
      </w:r>
      <w:r w:rsidR="007F7973">
        <w:rPr>
          <w:rFonts w:asciiTheme="minorHAnsi" w:hAnsiTheme="minorHAnsi" w:cs="Calibri"/>
        </w:rPr>
        <w:t>CE</w:t>
      </w:r>
      <w:r>
        <w:rPr>
          <w:rFonts w:asciiTheme="minorHAnsi" w:hAnsiTheme="minorHAnsi" w:cs="Calibri"/>
        </w:rPr>
        <w:t>,</w:t>
      </w:r>
      <w:r w:rsidRPr="000D1189">
        <w:rPr>
          <w:rFonts w:asciiTheme="minorHAnsi" w:hAnsiTheme="minorHAnsi" w:cs="Calibri"/>
        </w:rPr>
        <w:t xml:space="preserve"> Contencioso Administrativo</w:t>
      </w:r>
      <w:r w:rsidRPr="000D1189">
        <w:rPr>
          <w:rFonts w:asciiTheme="minorHAnsi" w:hAnsiTheme="minorHAnsi"/>
          <w:lang w:val="es-CO"/>
        </w:rPr>
        <w:t xml:space="preserve">, Sección Primera, </w:t>
      </w:r>
      <w:proofErr w:type="spellStart"/>
      <w:r w:rsidRPr="000D1189">
        <w:rPr>
          <w:rFonts w:asciiTheme="minorHAnsi" w:hAnsiTheme="minorHAnsi"/>
          <w:lang w:val="es-CO"/>
        </w:rPr>
        <w:t>exp</w:t>
      </w:r>
      <w:proofErr w:type="spellEnd"/>
      <w:r w:rsidRPr="000D1189">
        <w:rPr>
          <w:rFonts w:asciiTheme="minorHAnsi" w:hAnsiTheme="minorHAnsi"/>
          <w:lang w:val="es-CO"/>
        </w:rPr>
        <w:t>. 2002-01521-01 (AP)</w:t>
      </w:r>
    </w:p>
  </w:footnote>
  <w:footnote w:id="29">
    <w:p w:rsidR="00865982" w:rsidRPr="00B7649D" w:rsidRDefault="00865982" w:rsidP="00865982">
      <w:pPr>
        <w:pStyle w:val="Textonotapie"/>
        <w:jc w:val="both"/>
        <w:rPr>
          <w:rFonts w:asciiTheme="minorHAnsi" w:hAnsiTheme="minorHAnsi" w:cs="Calibri"/>
          <w:b/>
          <w:bCs/>
        </w:rPr>
      </w:pPr>
      <w:r w:rsidRPr="00140D59">
        <w:rPr>
          <w:rStyle w:val="Refdenotaalpie"/>
          <w:rFonts w:asciiTheme="minorHAnsi" w:hAnsiTheme="minorHAnsi"/>
        </w:rPr>
        <w:footnoteRef/>
      </w:r>
      <w:r w:rsidRPr="00140D59">
        <w:rPr>
          <w:rFonts w:asciiTheme="minorHAnsi" w:hAnsiTheme="minorHAnsi"/>
        </w:rPr>
        <w:t xml:space="preserve"> </w:t>
      </w:r>
      <w:r w:rsidR="007F7973">
        <w:rPr>
          <w:rFonts w:asciiTheme="minorHAnsi" w:hAnsiTheme="minorHAnsi" w:cs="Calibri"/>
          <w:lang w:val="es-CO"/>
        </w:rPr>
        <w:t>TSP</w:t>
      </w:r>
      <w:r w:rsidRPr="0063543E">
        <w:rPr>
          <w:rFonts w:asciiTheme="minorHAnsi" w:hAnsiTheme="minorHAnsi" w:cs="Calibri"/>
          <w:lang w:val="es-CO"/>
        </w:rPr>
        <w:t xml:space="preserve">, Civil – Familia. </w:t>
      </w:r>
      <w:r>
        <w:rPr>
          <w:rFonts w:asciiTheme="minorHAnsi" w:hAnsiTheme="minorHAnsi" w:cs="Calibri"/>
          <w:lang w:val="es-CO"/>
        </w:rPr>
        <w:t xml:space="preserve">Sentencias </w:t>
      </w:r>
      <w:r w:rsidRPr="0063543E">
        <w:rPr>
          <w:rFonts w:asciiTheme="minorHAnsi" w:hAnsiTheme="minorHAnsi" w:cs="Calibri"/>
          <w:lang w:val="es-CO"/>
        </w:rPr>
        <w:t>del</w:t>
      </w:r>
      <w:r w:rsidRPr="0063543E">
        <w:rPr>
          <w:rFonts w:asciiTheme="minorHAnsi" w:hAnsiTheme="minorHAnsi" w:cs="Calibri"/>
        </w:rPr>
        <w:t xml:space="preserve"> </w:t>
      </w:r>
      <w:r>
        <w:rPr>
          <w:rFonts w:asciiTheme="minorHAnsi" w:hAnsiTheme="minorHAnsi" w:cs="Calibri"/>
        </w:rPr>
        <w:t>13-05-2015</w:t>
      </w:r>
      <w:r w:rsidR="007F7973">
        <w:rPr>
          <w:rFonts w:asciiTheme="minorHAnsi" w:hAnsiTheme="minorHAnsi" w:cs="Calibri"/>
        </w:rPr>
        <w:t xml:space="preserve">, 16-02-2016 y </w:t>
      </w:r>
      <w:r w:rsidR="007F7973" w:rsidRPr="007F7973">
        <w:rPr>
          <w:rFonts w:asciiTheme="minorHAnsi" w:hAnsiTheme="minorHAnsi" w:cs="Arial"/>
          <w:lang w:val="es-CO"/>
        </w:rPr>
        <w:t>12-05-2016</w:t>
      </w:r>
      <w:r w:rsidR="007F7973">
        <w:rPr>
          <w:rFonts w:asciiTheme="minorHAnsi" w:hAnsiTheme="minorHAnsi" w:cs="Calibri"/>
        </w:rPr>
        <w:t xml:space="preserve">; </w:t>
      </w:r>
      <w:proofErr w:type="spellStart"/>
      <w:r w:rsidR="007F7973">
        <w:rPr>
          <w:rFonts w:asciiTheme="minorHAnsi" w:hAnsiTheme="minorHAnsi" w:cs="Calibri"/>
        </w:rPr>
        <w:t>MP</w:t>
      </w:r>
      <w:proofErr w:type="spellEnd"/>
      <w:r w:rsidR="007F7973">
        <w:rPr>
          <w:rFonts w:asciiTheme="minorHAnsi" w:hAnsiTheme="minorHAnsi" w:cs="Calibri"/>
        </w:rPr>
        <w:t xml:space="preserve">: </w:t>
      </w:r>
      <w:proofErr w:type="spellStart"/>
      <w:r w:rsidR="007F7973">
        <w:rPr>
          <w:rFonts w:asciiTheme="minorHAnsi" w:hAnsiTheme="minorHAnsi" w:cs="Calibri"/>
        </w:rPr>
        <w:t>Duberney</w:t>
      </w:r>
      <w:proofErr w:type="spellEnd"/>
      <w:r w:rsidR="007F7973">
        <w:rPr>
          <w:rFonts w:asciiTheme="minorHAnsi" w:hAnsiTheme="minorHAnsi" w:cs="Calibri"/>
        </w:rPr>
        <w:t xml:space="preserve"> Grisales H.;</w:t>
      </w:r>
      <w:r w:rsidRPr="0063543E">
        <w:rPr>
          <w:rFonts w:asciiTheme="minorHAnsi" w:hAnsiTheme="minorHAnsi" w:cs="Calibri"/>
        </w:rPr>
        <w:t xml:space="preserve"> </w:t>
      </w:r>
      <w:proofErr w:type="spellStart"/>
      <w:r w:rsidR="007F7973">
        <w:rPr>
          <w:rFonts w:asciiTheme="minorHAnsi" w:hAnsiTheme="minorHAnsi" w:cs="Calibri"/>
        </w:rPr>
        <w:t>exp</w:t>
      </w:r>
      <w:proofErr w:type="spellEnd"/>
      <w:r w:rsidR="007F7973">
        <w:rPr>
          <w:rFonts w:asciiTheme="minorHAnsi" w:hAnsiTheme="minorHAnsi" w:cs="Calibri"/>
        </w:rPr>
        <w:t xml:space="preserve">. </w:t>
      </w:r>
      <w:r w:rsidRPr="00140D59">
        <w:rPr>
          <w:rFonts w:asciiTheme="minorHAnsi" w:hAnsiTheme="minorHAnsi" w:cs="Calibri"/>
        </w:rPr>
        <w:t>No.</w:t>
      </w:r>
      <w:r w:rsidRPr="00B7649D">
        <w:rPr>
          <w:rFonts w:asciiTheme="minorHAnsi" w:hAnsiTheme="minorHAnsi" w:cs="Calibri"/>
        </w:rPr>
        <w:t>2015-00133-00</w:t>
      </w:r>
      <w:r w:rsidR="007F7973">
        <w:rPr>
          <w:rFonts w:asciiTheme="minorHAnsi" w:hAnsiTheme="minorHAnsi" w:cs="Calibri"/>
        </w:rPr>
        <w:t xml:space="preserve">, </w:t>
      </w:r>
      <w:r w:rsidR="007F7973" w:rsidRPr="007F7973">
        <w:rPr>
          <w:rFonts w:asciiTheme="minorHAnsi" w:hAnsiTheme="minorHAnsi" w:cs="Calibri"/>
        </w:rPr>
        <w:t>2016-00182-00</w:t>
      </w:r>
      <w:r w:rsidR="007F7973">
        <w:rPr>
          <w:rFonts w:asciiTheme="minorHAnsi" w:hAnsiTheme="minorHAnsi" w:cs="Calibri"/>
        </w:rPr>
        <w:t xml:space="preserve"> y </w:t>
      </w:r>
      <w:r w:rsidR="007F7973" w:rsidRPr="007F7973">
        <w:rPr>
          <w:rFonts w:asciiTheme="minorHAnsi" w:hAnsiTheme="minorHAnsi" w:cs="Arial"/>
        </w:rPr>
        <w:t>2016-00507-00</w:t>
      </w:r>
      <w:r>
        <w:rPr>
          <w:rFonts w:asciiTheme="minorHAnsi" w:hAnsiTheme="minorHAnsi" w:cs="Calibri"/>
        </w:rPr>
        <w:t xml:space="preserve">, entre otras. </w:t>
      </w:r>
    </w:p>
  </w:footnote>
  <w:footnote w:id="30">
    <w:p w:rsidR="00865982" w:rsidRPr="008C138F" w:rsidRDefault="00865982" w:rsidP="00865982">
      <w:pPr>
        <w:pStyle w:val="Textonotapie"/>
        <w:jc w:val="both"/>
        <w:rPr>
          <w:rFonts w:ascii="Calibri" w:hAnsi="Calibri"/>
          <w:lang w:val="es-CO"/>
        </w:rPr>
      </w:pPr>
      <w:r>
        <w:rPr>
          <w:rStyle w:val="Refdenotaalpie"/>
        </w:rPr>
        <w:footnoteRef/>
      </w:r>
      <w:r>
        <w:t xml:space="preserve"> </w:t>
      </w:r>
      <w:r w:rsidR="007F7973">
        <w:rPr>
          <w:rFonts w:asciiTheme="minorHAnsi" w:hAnsiTheme="minorHAnsi" w:cs="Calibri"/>
        </w:rPr>
        <w:t>CSJ</w:t>
      </w:r>
      <w:r w:rsidRPr="00140D59">
        <w:rPr>
          <w:rFonts w:asciiTheme="minorHAnsi" w:hAnsiTheme="minorHAnsi" w:cs="Calibri"/>
        </w:rPr>
        <w:t xml:space="preserve">, </w:t>
      </w:r>
      <w:r>
        <w:rPr>
          <w:rFonts w:asciiTheme="minorHAnsi" w:hAnsiTheme="minorHAnsi" w:cs="Calibri"/>
        </w:rPr>
        <w:t>Civil</w:t>
      </w:r>
      <w:r w:rsidRPr="00140D59">
        <w:rPr>
          <w:rFonts w:asciiTheme="minorHAnsi" w:hAnsiTheme="minorHAnsi" w:cs="Calibri"/>
        </w:rPr>
        <w:t>. Providencia</w:t>
      </w:r>
      <w:r w:rsidR="007F7973">
        <w:rPr>
          <w:rFonts w:asciiTheme="minorHAnsi" w:hAnsiTheme="minorHAnsi" w:cs="Calibri"/>
        </w:rPr>
        <w:t>s</w:t>
      </w:r>
      <w:r w:rsidRPr="00140D59">
        <w:rPr>
          <w:rFonts w:asciiTheme="minorHAnsi" w:hAnsiTheme="minorHAnsi" w:cs="Calibri"/>
        </w:rPr>
        <w:t xml:space="preserve"> </w:t>
      </w:r>
      <w:r>
        <w:rPr>
          <w:rFonts w:asciiTheme="minorHAnsi" w:hAnsiTheme="minorHAnsi" w:cs="Calibri"/>
        </w:rPr>
        <w:t>STC5116-2015</w:t>
      </w:r>
      <w:r w:rsidR="007F7973">
        <w:rPr>
          <w:rFonts w:asciiTheme="minorHAnsi" w:hAnsiTheme="minorHAnsi" w:cs="Calibri"/>
        </w:rPr>
        <w:t>,</w:t>
      </w:r>
      <w:r>
        <w:rPr>
          <w:rFonts w:asciiTheme="minorHAnsi" w:hAnsiTheme="minorHAnsi" w:cs="Calibri"/>
        </w:rPr>
        <w:t xml:space="preserve"> </w:t>
      </w:r>
      <w:r w:rsidR="007F7973" w:rsidRPr="00A73176">
        <w:rPr>
          <w:rFonts w:asciiTheme="minorHAnsi" w:hAnsiTheme="minorHAnsi" w:cs="Calibri"/>
          <w:lang w:val="es-ES_tradnl"/>
        </w:rPr>
        <w:t>STC10743-2015</w:t>
      </w:r>
      <w:r w:rsidR="007F7973">
        <w:rPr>
          <w:rFonts w:asciiTheme="minorHAnsi" w:hAnsiTheme="minorHAnsi" w:cs="Calibri"/>
          <w:b/>
          <w:lang w:val="es-ES_tradnl"/>
        </w:rPr>
        <w:t xml:space="preserve"> </w:t>
      </w:r>
      <w:r w:rsidR="007F7973" w:rsidRPr="007F7973">
        <w:rPr>
          <w:rFonts w:asciiTheme="minorHAnsi" w:hAnsiTheme="minorHAnsi" w:cs="Calibri"/>
          <w:lang w:val="es-ES_tradnl"/>
        </w:rPr>
        <w:t>y</w:t>
      </w:r>
      <w:r w:rsidR="007F7973">
        <w:rPr>
          <w:rFonts w:asciiTheme="minorHAnsi" w:hAnsiTheme="minorHAnsi" w:cs="Calibri"/>
          <w:b/>
          <w:lang w:val="es-ES_tradnl"/>
        </w:rPr>
        <w:t xml:space="preserve"> </w:t>
      </w:r>
      <w:r w:rsidR="007F7973" w:rsidRPr="007F7973">
        <w:rPr>
          <w:rFonts w:asciiTheme="minorHAnsi" w:hAnsiTheme="minorHAnsi" w:cs="Arial"/>
          <w:lang w:val="es-CO"/>
        </w:rPr>
        <w:t>STC7441-2016</w:t>
      </w:r>
      <w:r w:rsidR="007F7973">
        <w:rPr>
          <w:rFonts w:asciiTheme="minorHAnsi" w:hAnsiTheme="minorHAnsi" w:cs="Arial"/>
          <w:lang w:val="es-CO"/>
        </w:rPr>
        <w:t>.</w:t>
      </w:r>
    </w:p>
  </w:footnote>
  <w:footnote w:id="31">
    <w:p w:rsidR="00534D20" w:rsidRPr="00534D20" w:rsidRDefault="00534D20" w:rsidP="00534D20">
      <w:pPr>
        <w:pStyle w:val="Textonotapie"/>
        <w:jc w:val="both"/>
        <w:rPr>
          <w:lang w:val="es-CO"/>
        </w:rPr>
      </w:pPr>
      <w:r>
        <w:rPr>
          <w:rStyle w:val="Refdenotaalpie"/>
        </w:rPr>
        <w:footnoteRef/>
      </w:r>
      <w:r>
        <w:t xml:space="preserve"> </w:t>
      </w:r>
      <w:r w:rsidRPr="00534D20">
        <w:rPr>
          <w:rFonts w:ascii="Calibri" w:hAnsi="Calibri"/>
          <w:lang w:val="es-CO"/>
        </w:rPr>
        <w:t>CSJ,</w:t>
      </w:r>
      <w:r>
        <w:rPr>
          <w:rFonts w:ascii="Calibri" w:hAnsi="Calibri"/>
          <w:lang w:val="es-CO"/>
        </w:rPr>
        <w:t xml:space="preserve"> </w:t>
      </w:r>
      <w:r w:rsidRPr="00534D20">
        <w:rPr>
          <w:rFonts w:ascii="Calibri" w:hAnsi="Calibri"/>
          <w:lang w:val="es-CO"/>
        </w:rPr>
        <w:t xml:space="preserve">Civil. </w:t>
      </w:r>
      <w:r>
        <w:rPr>
          <w:rFonts w:ascii="Calibri" w:hAnsi="Calibri"/>
          <w:lang w:val="es-CO"/>
        </w:rPr>
        <w:t xml:space="preserve">Sentencias </w:t>
      </w:r>
      <w:r w:rsidRPr="00534D20">
        <w:rPr>
          <w:rFonts w:ascii="Calibri" w:hAnsi="Calibri"/>
          <w:szCs w:val="24"/>
        </w:rPr>
        <w:t>STC7545-2016, STC10685-2016 y STC12859-2016.</w:t>
      </w:r>
    </w:p>
  </w:footnote>
  <w:footnote w:id="32">
    <w:p w:rsidR="00AA1E03" w:rsidRPr="006B3E9D" w:rsidRDefault="00AA1E03" w:rsidP="00AA1E03">
      <w:pPr>
        <w:pStyle w:val="Textonotapie"/>
        <w:jc w:val="both"/>
        <w:rPr>
          <w:lang w:val="fr-FR"/>
        </w:rPr>
      </w:pPr>
      <w:r w:rsidRPr="00623B4F">
        <w:rPr>
          <w:rStyle w:val="Refdenotaalpie"/>
          <w:rFonts w:asciiTheme="minorHAnsi" w:hAnsiTheme="minorHAnsi" w:cs="Calibri"/>
        </w:rPr>
        <w:footnoteRef/>
      </w:r>
      <w:r w:rsidRPr="006B3E9D">
        <w:rPr>
          <w:rFonts w:asciiTheme="minorHAnsi" w:hAnsiTheme="minorHAnsi" w:cs="Calibri"/>
          <w:lang w:val="fr-FR"/>
        </w:rPr>
        <w:t xml:space="preserve"> </w:t>
      </w:r>
      <w:r w:rsidR="00394B4A" w:rsidRPr="006B3E9D">
        <w:rPr>
          <w:rFonts w:asciiTheme="minorHAnsi" w:hAnsiTheme="minorHAnsi" w:cs="Calibri"/>
          <w:lang w:val="fr-FR"/>
        </w:rPr>
        <w:t>CC</w:t>
      </w:r>
      <w:r w:rsidR="0078274D" w:rsidRPr="006B3E9D">
        <w:rPr>
          <w:rFonts w:asciiTheme="minorHAnsi" w:hAnsiTheme="minorHAnsi" w:cs="Calibri"/>
          <w:lang w:val="fr-FR"/>
        </w:rPr>
        <w:t>.</w:t>
      </w:r>
      <w:r w:rsidRPr="006B3E9D">
        <w:rPr>
          <w:rFonts w:asciiTheme="minorHAnsi" w:hAnsiTheme="minorHAnsi" w:cs="Calibri"/>
          <w:lang w:val="fr-FR"/>
        </w:rPr>
        <w:t xml:space="preserve"> Sentencia T-184 de 2005.</w:t>
      </w:r>
    </w:p>
  </w:footnote>
  <w:footnote w:id="33">
    <w:p w:rsidR="00AA1E03" w:rsidRPr="006B3E9D" w:rsidRDefault="00AA1E03" w:rsidP="00AA1E03">
      <w:pPr>
        <w:pStyle w:val="Textonotapie"/>
        <w:rPr>
          <w:lang w:val="fr-FR"/>
        </w:rPr>
      </w:pPr>
      <w:r>
        <w:rPr>
          <w:rStyle w:val="Refdenotaalpie"/>
        </w:rPr>
        <w:footnoteRef/>
      </w:r>
      <w:r w:rsidRPr="006B3E9D">
        <w:rPr>
          <w:lang w:val="fr-FR"/>
        </w:rPr>
        <w:t xml:space="preserve"> </w:t>
      </w:r>
      <w:r w:rsidR="00394B4A" w:rsidRPr="006B3E9D">
        <w:rPr>
          <w:rFonts w:asciiTheme="minorHAnsi" w:hAnsiTheme="minorHAnsi" w:cs="Calibri"/>
          <w:lang w:val="fr-FR"/>
        </w:rPr>
        <w:t>CC</w:t>
      </w:r>
      <w:r w:rsidR="0078274D" w:rsidRPr="006B3E9D">
        <w:rPr>
          <w:rFonts w:asciiTheme="minorHAnsi" w:hAnsiTheme="minorHAnsi" w:cs="Calibri"/>
          <w:lang w:val="fr-FR"/>
        </w:rPr>
        <w:t>.</w:t>
      </w:r>
      <w:r w:rsidRPr="006B3E9D">
        <w:rPr>
          <w:rFonts w:asciiTheme="minorHAnsi" w:hAnsiTheme="minorHAnsi" w:cs="Calibri"/>
          <w:lang w:val="fr-FR"/>
        </w:rPr>
        <w:t xml:space="preserve"> Sentencia T-001 de 2016</w:t>
      </w:r>
      <w:r w:rsidRPr="006B3E9D">
        <w:rPr>
          <w:rFonts w:ascii="Verdana" w:hAnsi="Verdana"/>
          <w:bCs/>
          <w:color w:val="000000"/>
          <w:sz w:val="22"/>
          <w:szCs w:val="22"/>
          <w:lang w:val="fr-FR"/>
        </w:rPr>
        <w:t>.</w:t>
      </w:r>
    </w:p>
  </w:footnote>
  <w:footnote w:id="34">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5">
    <w:p w:rsidR="00AA1E03" w:rsidRPr="006B3E9D" w:rsidRDefault="00AA1E03" w:rsidP="00AA1E03">
      <w:pPr>
        <w:pStyle w:val="Textonotapie"/>
        <w:jc w:val="both"/>
        <w:rPr>
          <w:lang w:val="fr-FR"/>
        </w:rPr>
      </w:pPr>
      <w:r w:rsidRPr="00623B4F">
        <w:rPr>
          <w:rStyle w:val="Refdenotaalpie"/>
          <w:rFonts w:asciiTheme="minorHAnsi" w:hAnsiTheme="minorHAnsi" w:cs="Calibri"/>
        </w:rPr>
        <w:footnoteRef/>
      </w:r>
      <w:r w:rsidRPr="006B3E9D">
        <w:rPr>
          <w:rFonts w:asciiTheme="minorHAnsi" w:hAnsiTheme="minorHAnsi" w:cs="Calibri"/>
          <w:lang w:val="fr-FR"/>
        </w:rPr>
        <w:t xml:space="preserve"> </w:t>
      </w:r>
      <w:r w:rsidR="00394B4A" w:rsidRPr="006B3E9D">
        <w:rPr>
          <w:rFonts w:asciiTheme="minorHAnsi" w:hAnsiTheme="minorHAnsi" w:cs="Calibri"/>
          <w:lang w:val="fr-FR"/>
        </w:rPr>
        <w:t>CC</w:t>
      </w:r>
      <w:r w:rsidRPr="006B3E9D">
        <w:rPr>
          <w:rFonts w:asciiTheme="minorHAnsi" w:hAnsiTheme="minorHAnsi" w:cs="Calibri"/>
          <w:lang w:val="fr-FR"/>
        </w:rPr>
        <w:t>. Sentencia T-443 de 1995.</w:t>
      </w:r>
    </w:p>
  </w:footnote>
  <w:footnote w:id="36">
    <w:p w:rsidR="00AA1E03" w:rsidRPr="006B3E9D" w:rsidRDefault="00AA1E03" w:rsidP="00AA1E03">
      <w:pPr>
        <w:pStyle w:val="Textonotapie"/>
        <w:jc w:val="both"/>
        <w:rPr>
          <w:lang w:val="fr-FR"/>
        </w:rPr>
      </w:pPr>
      <w:r w:rsidRPr="00623B4F">
        <w:rPr>
          <w:rStyle w:val="Refdenotaalpie"/>
          <w:rFonts w:asciiTheme="minorHAnsi" w:hAnsiTheme="minorHAnsi" w:cs="Calibri"/>
        </w:rPr>
        <w:footnoteRef/>
      </w:r>
      <w:r w:rsidRPr="006B3E9D">
        <w:rPr>
          <w:rFonts w:asciiTheme="minorHAnsi" w:hAnsiTheme="minorHAnsi" w:cs="Calibri"/>
          <w:lang w:val="fr-FR"/>
        </w:rPr>
        <w:t xml:space="preserve"> </w:t>
      </w:r>
      <w:r w:rsidR="00394B4A" w:rsidRPr="006B3E9D">
        <w:rPr>
          <w:rFonts w:asciiTheme="minorHAnsi" w:hAnsiTheme="minorHAnsi" w:cs="Calibri"/>
          <w:lang w:val="fr-FR"/>
        </w:rPr>
        <w:t>CC</w:t>
      </w:r>
      <w:r w:rsidRPr="006B3E9D">
        <w:rPr>
          <w:rFonts w:asciiTheme="minorHAnsi" w:hAnsiTheme="minorHAnsi" w:cs="Calibri"/>
          <w:lang w:val="fr-FR"/>
        </w:rPr>
        <w:t>. Sentencia T-149 de 1995.</w:t>
      </w:r>
    </w:p>
  </w:footnote>
  <w:footnote w:id="37">
    <w:p w:rsidR="00AA1E03" w:rsidRPr="006B3E9D" w:rsidRDefault="00AA1E03" w:rsidP="00AA1E03">
      <w:pPr>
        <w:pStyle w:val="Textonotapie"/>
        <w:jc w:val="both"/>
        <w:rPr>
          <w:lang w:val="fr-FR"/>
        </w:rPr>
      </w:pPr>
      <w:r w:rsidRPr="00623B4F">
        <w:rPr>
          <w:rStyle w:val="Refdenotaalpie"/>
          <w:rFonts w:asciiTheme="minorHAnsi" w:hAnsiTheme="minorHAnsi" w:cs="Calibri"/>
        </w:rPr>
        <w:footnoteRef/>
      </w:r>
      <w:r w:rsidRPr="006B3E9D">
        <w:rPr>
          <w:rFonts w:asciiTheme="minorHAnsi" w:hAnsiTheme="minorHAnsi" w:cs="Calibri"/>
          <w:lang w:val="fr-FR"/>
        </w:rPr>
        <w:t xml:space="preserve"> </w:t>
      </w:r>
      <w:r w:rsidR="00394B4A" w:rsidRPr="006B3E9D">
        <w:rPr>
          <w:rFonts w:asciiTheme="minorHAnsi" w:hAnsiTheme="minorHAnsi" w:cs="Calibri"/>
          <w:lang w:val="fr-FR"/>
        </w:rPr>
        <w:t>CC</w:t>
      </w:r>
      <w:r w:rsidRPr="006B3E9D">
        <w:rPr>
          <w:rFonts w:asciiTheme="minorHAnsi" w:hAnsiTheme="minorHAnsi" w:cs="Calibri"/>
          <w:lang w:val="fr-FR"/>
        </w:rPr>
        <w:t>. Sentencia T-308 de 1995.</w:t>
      </w:r>
    </w:p>
  </w:footnote>
  <w:footnote w:id="38">
    <w:p w:rsidR="00AA1E03" w:rsidRPr="006B3E9D" w:rsidRDefault="00AA1E03" w:rsidP="00AA1E03">
      <w:pPr>
        <w:pStyle w:val="Textonotapie"/>
        <w:jc w:val="both"/>
        <w:rPr>
          <w:lang w:val="fr-FR"/>
        </w:rPr>
      </w:pPr>
      <w:r w:rsidRPr="00623B4F">
        <w:rPr>
          <w:rStyle w:val="Refdenotaalpie"/>
          <w:rFonts w:asciiTheme="minorHAnsi" w:hAnsiTheme="minorHAnsi" w:cs="Calibri"/>
        </w:rPr>
        <w:footnoteRef/>
      </w:r>
      <w:r w:rsidRPr="006B3E9D">
        <w:rPr>
          <w:rFonts w:asciiTheme="minorHAnsi" w:hAnsiTheme="minorHAnsi" w:cs="Calibri"/>
          <w:lang w:val="fr-FR"/>
        </w:rPr>
        <w:t xml:space="preserve"> </w:t>
      </w:r>
      <w:r w:rsidR="00394B4A" w:rsidRPr="006B3E9D">
        <w:rPr>
          <w:rFonts w:asciiTheme="minorHAnsi" w:hAnsiTheme="minorHAnsi" w:cs="Calibri"/>
          <w:lang w:val="fr-FR"/>
        </w:rPr>
        <w:t>CC</w:t>
      </w:r>
      <w:r w:rsidRPr="006B3E9D">
        <w:rPr>
          <w:rFonts w:asciiTheme="minorHAnsi" w:hAnsiTheme="minorHAnsi" w:cs="Calibri"/>
          <w:lang w:val="fr-FR"/>
        </w:rPr>
        <w:t>. Sentencia T-443 de 1995.</w:t>
      </w:r>
    </w:p>
  </w:footnote>
  <w:footnote w:id="39">
    <w:p w:rsidR="00AA1E03" w:rsidRPr="006B3E9D" w:rsidRDefault="00AA1E03" w:rsidP="00AA1E03">
      <w:pPr>
        <w:pStyle w:val="Textonotapie"/>
        <w:jc w:val="both"/>
        <w:rPr>
          <w:lang w:val="fr-FR"/>
        </w:rPr>
      </w:pPr>
      <w:r w:rsidRPr="00623B4F">
        <w:rPr>
          <w:rStyle w:val="Refdenotaalpie"/>
          <w:rFonts w:asciiTheme="minorHAnsi" w:hAnsiTheme="minorHAnsi" w:cs="Calibri"/>
        </w:rPr>
        <w:footnoteRef/>
      </w:r>
      <w:r w:rsidRPr="006B3E9D">
        <w:rPr>
          <w:rFonts w:asciiTheme="minorHAnsi" w:hAnsiTheme="minorHAnsi" w:cs="Calibri"/>
          <w:lang w:val="fr-FR"/>
        </w:rPr>
        <w:t xml:space="preserve"> </w:t>
      </w:r>
      <w:r w:rsidR="00394B4A" w:rsidRPr="006B3E9D">
        <w:rPr>
          <w:rFonts w:asciiTheme="minorHAnsi" w:hAnsiTheme="minorHAnsi" w:cs="Calibri"/>
          <w:lang w:val="fr-FR"/>
        </w:rPr>
        <w:t>CC</w:t>
      </w:r>
      <w:r w:rsidRPr="006B3E9D">
        <w:rPr>
          <w:rFonts w:asciiTheme="minorHAnsi" w:hAnsiTheme="minorHAnsi" w:cs="Calibri"/>
          <w:lang w:val="fr-FR"/>
        </w:rPr>
        <w:t>. Sentencia T-001 de 1997.</w:t>
      </w:r>
    </w:p>
  </w:footnote>
  <w:footnote w:id="40">
    <w:p w:rsidR="00AA1E03" w:rsidRPr="006B3E9D" w:rsidRDefault="00AA1E03" w:rsidP="00AA1E03">
      <w:pPr>
        <w:pStyle w:val="Textonotapie"/>
        <w:jc w:val="both"/>
        <w:rPr>
          <w:rFonts w:ascii="Calibri" w:hAnsi="Calibri"/>
          <w:lang w:val="fr-FR"/>
        </w:rPr>
      </w:pPr>
      <w:r w:rsidRPr="00D54497">
        <w:rPr>
          <w:rStyle w:val="Refdenotaalpie"/>
          <w:rFonts w:ascii="Calibri" w:hAnsi="Calibri" w:cs="Calibri"/>
        </w:rPr>
        <w:footnoteRef/>
      </w:r>
      <w:r w:rsidRPr="006B3E9D">
        <w:rPr>
          <w:rFonts w:ascii="Calibri" w:hAnsi="Calibri" w:cs="Calibri"/>
          <w:lang w:val="fr-FR"/>
        </w:rPr>
        <w:t xml:space="preserve"> </w:t>
      </w:r>
      <w:r w:rsidR="00394B4A" w:rsidRPr="006B3E9D">
        <w:rPr>
          <w:rFonts w:ascii="Calibri" w:hAnsi="Calibri" w:cs="Calibri"/>
          <w:lang w:val="fr-FR"/>
        </w:rPr>
        <w:t>CC</w:t>
      </w:r>
      <w:r w:rsidRPr="006B3E9D">
        <w:rPr>
          <w:rFonts w:ascii="Calibri" w:hAnsi="Calibri" w:cs="Calibri"/>
          <w:lang w:val="fr-FR"/>
        </w:rPr>
        <w:t>. Sentencia T-184 de 2005.</w:t>
      </w:r>
    </w:p>
  </w:footnote>
  <w:footnote w:id="41">
    <w:p w:rsidR="00AA1E03" w:rsidRPr="00D54497" w:rsidRDefault="00AA1E03"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00394B4A">
        <w:rPr>
          <w:rFonts w:ascii="Calibri" w:hAnsi="Calibri"/>
          <w:lang w:val="es-CO"/>
        </w:rPr>
        <w:t>CSJ</w:t>
      </w:r>
      <w:r w:rsidR="00F7431B">
        <w:rPr>
          <w:rFonts w:ascii="Calibri" w:hAnsi="Calibri"/>
          <w:lang w:val="es-CO"/>
        </w:rPr>
        <w:t xml:space="preserve">, Sala </w:t>
      </w:r>
      <w:r w:rsidRPr="00D54497">
        <w:rPr>
          <w:rFonts w:ascii="Calibri" w:hAnsi="Calibri"/>
          <w:lang w:val="es-CO"/>
        </w:rPr>
        <w:t>Civil. Sentencia STC7600-2016.</w:t>
      </w:r>
    </w:p>
  </w:footnote>
  <w:footnote w:id="42">
    <w:p w:rsidR="00AA1E03" w:rsidRPr="00D54497" w:rsidRDefault="00AA1E03"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00394B4A">
        <w:rPr>
          <w:rFonts w:ascii="Calibri" w:hAnsi="Calibri"/>
          <w:lang w:val="es-CO"/>
        </w:rPr>
        <w:t>TSP</w:t>
      </w:r>
      <w:r w:rsidRPr="00D54497">
        <w:rPr>
          <w:rFonts w:ascii="Calibri" w:hAnsi="Calibri"/>
          <w:lang w:val="es-CO"/>
        </w:rPr>
        <w:t xml:space="preserve">,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sidR="00F7431B">
        <w:rPr>
          <w:rFonts w:ascii="Calibri" w:hAnsi="Calibri" w:cs="Arial"/>
          <w:sz w:val="22"/>
          <w:szCs w:val="22"/>
        </w:rPr>
        <w:t>No.</w:t>
      </w:r>
      <w:r w:rsidRPr="00D54497">
        <w:rPr>
          <w:rFonts w:ascii="Calibri" w:hAnsi="Calibri"/>
        </w:rPr>
        <w:t xml:space="preserve">2016-00554-00, </w:t>
      </w:r>
      <w:proofErr w:type="spellStart"/>
      <w:r w:rsidRPr="00D54497">
        <w:rPr>
          <w:rFonts w:ascii="Calibri" w:hAnsi="Calibri"/>
        </w:rPr>
        <w:t>MP</w:t>
      </w:r>
      <w:proofErr w:type="spellEnd"/>
      <w:r w:rsidR="00F7431B">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 w:id="43">
    <w:p w:rsidR="00AA1E03" w:rsidRPr="00D54497" w:rsidRDefault="00AA1E03" w:rsidP="00AA1E03">
      <w:pPr>
        <w:pStyle w:val="Textonotapie"/>
        <w:jc w:val="both"/>
        <w:rPr>
          <w:lang w:val="es-CO"/>
        </w:rPr>
      </w:pPr>
      <w:r w:rsidRPr="00D54497">
        <w:rPr>
          <w:rStyle w:val="Refdenotaalpie"/>
          <w:rFonts w:ascii="Calibri" w:hAnsi="Calibri"/>
        </w:rPr>
        <w:footnoteRef/>
      </w:r>
      <w:r w:rsidRPr="00D54497">
        <w:rPr>
          <w:rFonts w:ascii="Calibri" w:hAnsi="Calibri"/>
        </w:rPr>
        <w:t xml:space="preserve"> </w:t>
      </w:r>
      <w:r w:rsidR="00394B4A">
        <w:rPr>
          <w:rFonts w:ascii="Calibri" w:hAnsi="Calibri"/>
          <w:lang w:val="es-CO"/>
        </w:rPr>
        <w:t>TSP</w:t>
      </w:r>
      <w:r w:rsidRPr="00D54497">
        <w:rPr>
          <w:rFonts w:ascii="Calibri" w:hAnsi="Calibri"/>
          <w:lang w:val="es-CO"/>
        </w:rPr>
        <w:t xml:space="preserve">,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sidR="00F7431B">
        <w:rPr>
          <w:rFonts w:ascii="Calibri" w:hAnsi="Calibri" w:cs="Arial"/>
          <w:sz w:val="22"/>
          <w:szCs w:val="22"/>
        </w:rPr>
        <w:t>No.</w:t>
      </w:r>
      <w:r w:rsidRPr="00D54497">
        <w:rPr>
          <w:rFonts w:ascii="Calibri" w:hAnsi="Calibri"/>
        </w:rPr>
        <w:t xml:space="preserve">2016-00750-00, </w:t>
      </w:r>
      <w:proofErr w:type="spellStart"/>
      <w:r w:rsidRPr="00D54497">
        <w:rPr>
          <w:rFonts w:ascii="Calibri" w:hAnsi="Calibri"/>
        </w:rPr>
        <w:t>MP</w:t>
      </w:r>
      <w:proofErr w:type="spellEnd"/>
      <w:r w:rsidR="00F7431B">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E6AAF">
      <w:rPr>
        <w:rFonts w:ascii="Calibri" w:hAnsi="Calibri" w:cs="Calibri"/>
        <w:i/>
        <w:noProof/>
        <w:sz w:val="20"/>
      </w:rPr>
      <w:t>9</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7F3E77">
      <w:rPr>
        <w:rFonts w:ascii="Calibri" w:hAnsi="Calibri" w:cs="Calibri"/>
        <w:i/>
        <w:sz w:val="20"/>
        <w:szCs w:val="22"/>
      </w:rPr>
      <w:t>0972</w:t>
    </w:r>
    <w:r w:rsidR="0028706E">
      <w:rPr>
        <w:rFonts w:ascii="Calibri" w:hAnsi="Calibri" w:cs="Calibri"/>
        <w:i/>
        <w:sz w:val="20"/>
        <w:szCs w:val="22"/>
      </w:rPr>
      <w:t>-00</w:t>
    </w:r>
    <w:r w:rsidR="005118AB">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2"/>
  </w:num>
  <w:num w:numId="5">
    <w:abstractNumId w:val="25"/>
  </w:num>
  <w:num w:numId="6">
    <w:abstractNumId w:val="0"/>
  </w:num>
  <w:num w:numId="7">
    <w:abstractNumId w:val="19"/>
  </w:num>
  <w:num w:numId="8">
    <w:abstractNumId w:val="1"/>
  </w:num>
  <w:num w:numId="9">
    <w:abstractNumId w:val="26"/>
  </w:num>
  <w:num w:numId="10">
    <w:abstractNumId w:val="20"/>
  </w:num>
  <w:num w:numId="11">
    <w:abstractNumId w:val="17"/>
  </w:num>
  <w:num w:numId="12">
    <w:abstractNumId w:val="22"/>
  </w:num>
  <w:num w:numId="13">
    <w:abstractNumId w:val="8"/>
  </w:num>
  <w:num w:numId="14">
    <w:abstractNumId w:val="10"/>
  </w:num>
  <w:num w:numId="15">
    <w:abstractNumId w:val="15"/>
  </w:num>
  <w:num w:numId="16">
    <w:abstractNumId w:val="3"/>
  </w:num>
  <w:num w:numId="17">
    <w:abstractNumId w:val="16"/>
  </w:num>
  <w:num w:numId="18">
    <w:abstractNumId w:val="6"/>
  </w:num>
  <w:num w:numId="19">
    <w:abstractNumId w:val="4"/>
  </w:num>
  <w:num w:numId="20">
    <w:abstractNumId w:val="11"/>
  </w:num>
  <w:num w:numId="21">
    <w:abstractNumId w:val="18"/>
  </w:num>
  <w:num w:numId="22">
    <w:abstractNumId w:val="21"/>
  </w:num>
  <w:num w:numId="23">
    <w:abstractNumId w:val="5"/>
  </w:num>
  <w:num w:numId="24">
    <w:abstractNumId w:val="9"/>
  </w:num>
  <w:num w:numId="25">
    <w:abstractNumId w:val="6"/>
  </w:num>
  <w:num w:numId="26">
    <w:abstractNumId w:val="2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54B5"/>
    <w:rsid w:val="000D6276"/>
    <w:rsid w:val="000D763A"/>
    <w:rsid w:val="000D7719"/>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640"/>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17F80"/>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0EE9"/>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5D70"/>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6D4B"/>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66941"/>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495"/>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8FD"/>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338"/>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4D20"/>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672"/>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AAF"/>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537"/>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3E9D"/>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6B19"/>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3E77"/>
    <w:rsid w:val="007F41FB"/>
    <w:rsid w:val="007F478C"/>
    <w:rsid w:val="007F4DCC"/>
    <w:rsid w:val="007F55A0"/>
    <w:rsid w:val="007F6224"/>
    <w:rsid w:val="007F64FC"/>
    <w:rsid w:val="007F687A"/>
    <w:rsid w:val="007F6D57"/>
    <w:rsid w:val="007F7051"/>
    <w:rsid w:val="007F71EB"/>
    <w:rsid w:val="007F748A"/>
    <w:rsid w:val="007F7973"/>
    <w:rsid w:val="007F7984"/>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982"/>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495"/>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394"/>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47FE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16EF"/>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B7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23FE"/>
    <w:rsid w:val="00C5301B"/>
    <w:rsid w:val="00C531DB"/>
    <w:rsid w:val="00C538EC"/>
    <w:rsid w:val="00C53ACD"/>
    <w:rsid w:val="00C53EB4"/>
    <w:rsid w:val="00C544F1"/>
    <w:rsid w:val="00C547E0"/>
    <w:rsid w:val="00C54C88"/>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49E"/>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4EE7"/>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0A7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0BC"/>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E32"/>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5F0B"/>
    <w:rsid w:val="00EF6B40"/>
    <w:rsid w:val="00EF742E"/>
    <w:rsid w:val="00EF7E9E"/>
    <w:rsid w:val="00F0001C"/>
    <w:rsid w:val="00F00977"/>
    <w:rsid w:val="00F009C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F0"/>
    <w:rsid w:val="00F32C19"/>
    <w:rsid w:val="00F330CE"/>
    <w:rsid w:val="00F332B5"/>
    <w:rsid w:val="00F336C8"/>
    <w:rsid w:val="00F33A29"/>
    <w:rsid w:val="00F348E7"/>
    <w:rsid w:val="00F34CA4"/>
    <w:rsid w:val="00F350A7"/>
    <w:rsid w:val="00F36008"/>
    <w:rsid w:val="00F373C4"/>
    <w:rsid w:val="00F374CC"/>
    <w:rsid w:val="00F374EE"/>
    <w:rsid w:val="00F37B8B"/>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0C7"/>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B96"/>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5D9C"/>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4D87E07-7E9B-45BD-82ED-6227F01B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554B-8148-4DEF-9719-973E781B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4052</Words>
  <Characters>22286</Characters>
  <Application>Microsoft Office Word</Application>
  <DocSecurity>0</DocSecurity>
  <Lines>185</Lines>
  <Paragraphs>52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26286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20</cp:revision>
  <cp:lastPrinted>2016-11-08T20:24:00Z</cp:lastPrinted>
  <dcterms:created xsi:type="dcterms:W3CDTF">2016-11-04T18:16:00Z</dcterms:created>
  <dcterms:modified xsi:type="dcterms:W3CDTF">2017-02-13T16:40:00Z</dcterms:modified>
</cp:coreProperties>
</file>